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1B" w:rsidRPr="001163D5" w:rsidRDefault="00541551" w:rsidP="00323E47">
      <w:pPr>
        <w:pStyle w:val="Title"/>
        <w:ind w:left="-1440"/>
        <w:jc w:val="left"/>
        <w:rPr>
          <w:szCs w:val="24"/>
        </w:rPr>
      </w:pPr>
      <w:r w:rsidRPr="001163D5">
        <w:rPr>
          <w:noProof/>
        </w:rPr>
        <w:drawing>
          <wp:anchor distT="0" distB="0" distL="114300" distR="114300" simplePos="0" relativeHeight="251658240" behindDoc="0" locked="0" layoutInCell="1" allowOverlap="1">
            <wp:simplePos x="0" y="0"/>
            <wp:positionH relativeFrom="margin">
              <wp:posOffset>-1175657</wp:posOffset>
            </wp:positionH>
            <wp:positionV relativeFrom="margin">
              <wp:posOffset>-439387</wp:posOffset>
            </wp:positionV>
            <wp:extent cx="1962785" cy="8782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785" cy="878205"/>
                    </a:xfrm>
                    <a:prstGeom prst="rect">
                      <a:avLst/>
                    </a:prstGeom>
                    <a:noFill/>
                  </pic:spPr>
                </pic:pic>
              </a:graphicData>
            </a:graphic>
          </wp:anchor>
        </w:drawing>
      </w:r>
    </w:p>
    <w:p w:rsidR="0076001B" w:rsidRPr="001163D5" w:rsidRDefault="0076001B" w:rsidP="00323E47">
      <w:pPr>
        <w:pStyle w:val="Title"/>
        <w:ind w:left="-1440"/>
        <w:jc w:val="left"/>
        <w:rPr>
          <w:szCs w:val="24"/>
        </w:rPr>
      </w:pPr>
    </w:p>
    <w:p w:rsidR="00541551" w:rsidRPr="001163D5" w:rsidRDefault="00541551" w:rsidP="00E470E3">
      <w:pPr>
        <w:pStyle w:val="Title"/>
        <w:ind w:left="-1440"/>
        <w:rPr>
          <w:b w:val="0"/>
          <w:sz w:val="36"/>
          <w:szCs w:val="36"/>
        </w:rPr>
      </w:pPr>
    </w:p>
    <w:p w:rsidR="00541551" w:rsidRPr="001163D5" w:rsidRDefault="00541551" w:rsidP="00E470E3">
      <w:pPr>
        <w:pStyle w:val="Title"/>
        <w:ind w:left="-1440"/>
        <w:rPr>
          <w:szCs w:val="24"/>
        </w:rPr>
      </w:pPr>
      <w:r w:rsidRPr="001163D5">
        <w:rPr>
          <w:szCs w:val="24"/>
        </w:rPr>
        <w:t>FAIRFIELD COUNTY’S COMMUNITY FOUNDATION</w:t>
      </w:r>
    </w:p>
    <w:p w:rsidR="0076001B" w:rsidRPr="001163D5" w:rsidRDefault="0076001B" w:rsidP="00E470E3">
      <w:pPr>
        <w:pStyle w:val="Title"/>
        <w:ind w:left="-1440"/>
        <w:rPr>
          <w:caps/>
          <w:szCs w:val="24"/>
        </w:rPr>
      </w:pPr>
      <w:r w:rsidRPr="001163D5">
        <w:rPr>
          <w:caps/>
          <w:szCs w:val="24"/>
        </w:rPr>
        <w:t>Investment Policy and Guidelines</w:t>
      </w:r>
    </w:p>
    <w:p w:rsidR="0076001B" w:rsidRPr="001163D5" w:rsidRDefault="0076001B" w:rsidP="00323E47">
      <w:pPr>
        <w:ind w:left="-1440"/>
        <w:rPr>
          <w:b/>
          <w:sz w:val="24"/>
          <w:szCs w:val="24"/>
        </w:rPr>
      </w:pPr>
    </w:p>
    <w:p w:rsidR="0076001B" w:rsidRPr="001163D5" w:rsidRDefault="0076001B" w:rsidP="00323E47">
      <w:pPr>
        <w:numPr>
          <w:ilvl w:val="0"/>
          <w:numId w:val="1"/>
        </w:numPr>
        <w:tabs>
          <w:tab w:val="clear" w:pos="360"/>
          <w:tab w:val="num" w:pos="-1080"/>
        </w:tabs>
        <w:ind w:left="-1080"/>
        <w:rPr>
          <w:sz w:val="24"/>
          <w:szCs w:val="24"/>
        </w:rPr>
      </w:pPr>
      <w:r w:rsidRPr="001163D5">
        <w:rPr>
          <w:b/>
          <w:sz w:val="24"/>
          <w:szCs w:val="24"/>
        </w:rPr>
        <w:t>Investment Philosophy</w:t>
      </w:r>
    </w:p>
    <w:p w:rsidR="0076001B" w:rsidRPr="001163D5" w:rsidRDefault="0076001B" w:rsidP="00323E47">
      <w:pPr>
        <w:ind w:left="-1440"/>
        <w:rPr>
          <w:sz w:val="24"/>
          <w:szCs w:val="24"/>
        </w:rPr>
      </w:pPr>
    </w:p>
    <w:p w:rsidR="0076001B" w:rsidRPr="001163D5" w:rsidRDefault="0076001B" w:rsidP="00323E47">
      <w:pPr>
        <w:ind w:left="-1080"/>
        <w:rPr>
          <w:sz w:val="24"/>
          <w:szCs w:val="24"/>
        </w:rPr>
      </w:pPr>
      <w:r w:rsidRPr="001163D5">
        <w:rPr>
          <w:sz w:val="24"/>
          <w:szCs w:val="24"/>
        </w:rPr>
        <w:t xml:space="preserve">Board of Directors </w:t>
      </w:r>
      <w:r w:rsidR="00541551" w:rsidRPr="001163D5">
        <w:rPr>
          <w:sz w:val="24"/>
          <w:szCs w:val="24"/>
        </w:rPr>
        <w:t xml:space="preserve">of Fairfield County’s Community Foundation (the Foundation) </w:t>
      </w:r>
      <w:r w:rsidR="00997247" w:rsidRPr="001163D5">
        <w:rPr>
          <w:sz w:val="24"/>
          <w:szCs w:val="24"/>
        </w:rPr>
        <w:t xml:space="preserve">oversees </w:t>
      </w:r>
      <w:r w:rsidRPr="001163D5">
        <w:rPr>
          <w:sz w:val="24"/>
          <w:szCs w:val="24"/>
        </w:rPr>
        <w:t>the assets of the Foundation’s endow</w:t>
      </w:r>
      <w:r w:rsidR="00997247" w:rsidRPr="001163D5">
        <w:rPr>
          <w:sz w:val="24"/>
          <w:szCs w:val="24"/>
        </w:rPr>
        <w:t>ed and spendable</w:t>
      </w:r>
      <w:r w:rsidRPr="001163D5">
        <w:rPr>
          <w:sz w:val="24"/>
          <w:szCs w:val="24"/>
        </w:rPr>
        <w:t xml:space="preserve"> funds to generate income </w:t>
      </w:r>
      <w:r w:rsidR="00323E47" w:rsidRPr="001163D5">
        <w:rPr>
          <w:sz w:val="24"/>
          <w:szCs w:val="24"/>
        </w:rPr>
        <w:t>to respond</w:t>
      </w:r>
      <w:r w:rsidRPr="001163D5">
        <w:rPr>
          <w:sz w:val="24"/>
          <w:szCs w:val="24"/>
        </w:rPr>
        <w:t xml:space="preserve"> to current charitable needs </w:t>
      </w:r>
      <w:r w:rsidR="00323E47" w:rsidRPr="001163D5">
        <w:rPr>
          <w:sz w:val="24"/>
          <w:szCs w:val="24"/>
        </w:rPr>
        <w:t xml:space="preserve">and </w:t>
      </w:r>
      <w:r w:rsidR="00F80667" w:rsidRPr="001163D5">
        <w:rPr>
          <w:sz w:val="24"/>
          <w:szCs w:val="24"/>
        </w:rPr>
        <w:t>to support</w:t>
      </w:r>
      <w:r w:rsidR="00323E47" w:rsidRPr="001163D5">
        <w:rPr>
          <w:sz w:val="24"/>
          <w:szCs w:val="24"/>
        </w:rPr>
        <w:t xml:space="preserve"> the </w:t>
      </w:r>
      <w:r w:rsidRPr="001163D5">
        <w:rPr>
          <w:sz w:val="24"/>
          <w:szCs w:val="24"/>
        </w:rPr>
        <w:t xml:space="preserve">long term </w:t>
      </w:r>
      <w:r w:rsidR="00997247" w:rsidRPr="001163D5">
        <w:rPr>
          <w:sz w:val="24"/>
          <w:szCs w:val="24"/>
        </w:rPr>
        <w:t>growth of the Foundation’s endow</w:t>
      </w:r>
      <w:r w:rsidR="00F80667" w:rsidRPr="001163D5">
        <w:rPr>
          <w:sz w:val="24"/>
          <w:szCs w:val="24"/>
        </w:rPr>
        <w:t>ment</w:t>
      </w:r>
      <w:r w:rsidRPr="001163D5">
        <w:rPr>
          <w:sz w:val="24"/>
          <w:szCs w:val="24"/>
        </w:rPr>
        <w:t xml:space="preserve">.  </w:t>
      </w:r>
      <w:r w:rsidR="00997247" w:rsidRPr="001163D5">
        <w:rPr>
          <w:sz w:val="24"/>
          <w:szCs w:val="24"/>
        </w:rPr>
        <w:t>The Board of Directors works through its Investment Committee to implement the Foundation’s investment goals</w:t>
      </w:r>
      <w:r w:rsidRPr="001163D5">
        <w:rPr>
          <w:sz w:val="24"/>
          <w:szCs w:val="24"/>
        </w:rPr>
        <w:t>:</w:t>
      </w:r>
    </w:p>
    <w:p w:rsidR="0076001B" w:rsidRPr="001163D5" w:rsidRDefault="0076001B" w:rsidP="00323E47">
      <w:pPr>
        <w:ind w:left="-1080"/>
        <w:rPr>
          <w:sz w:val="24"/>
          <w:szCs w:val="24"/>
        </w:rPr>
      </w:pPr>
    </w:p>
    <w:p w:rsidR="003772D7" w:rsidRPr="001163D5" w:rsidRDefault="003772D7" w:rsidP="00E0569E">
      <w:pPr>
        <w:numPr>
          <w:ilvl w:val="0"/>
          <w:numId w:val="34"/>
        </w:numPr>
        <w:ind w:left="-720"/>
        <w:rPr>
          <w:sz w:val="24"/>
          <w:szCs w:val="24"/>
        </w:rPr>
      </w:pPr>
      <w:r w:rsidRPr="001163D5">
        <w:rPr>
          <w:sz w:val="24"/>
          <w:szCs w:val="24"/>
        </w:rPr>
        <w:t>Earn real returns that support the Foundation’s long-range spending policy to support grant</w:t>
      </w:r>
      <w:r w:rsidR="001163D5" w:rsidRPr="001163D5">
        <w:rPr>
          <w:sz w:val="24"/>
          <w:szCs w:val="24"/>
        </w:rPr>
        <w:t xml:space="preserve"> </w:t>
      </w:r>
      <w:r w:rsidRPr="001163D5">
        <w:rPr>
          <w:sz w:val="24"/>
          <w:szCs w:val="24"/>
        </w:rPr>
        <w:t>making programs and initiatives.</w:t>
      </w:r>
      <w:r w:rsidRPr="001163D5">
        <w:rPr>
          <w:sz w:val="24"/>
          <w:szCs w:val="24"/>
        </w:rPr>
        <w:br/>
      </w:r>
    </w:p>
    <w:p w:rsidR="00162240" w:rsidRPr="001163D5" w:rsidRDefault="003772D7" w:rsidP="00162240">
      <w:pPr>
        <w:numPr>
          <w:ilvl w:val="0"/>
          <w:numId w:val="34"/>
        </w:numPr>
        <w:ind w:left="-720"/>
        <w:rPr>
          <w:sz w:val="24"/>
          <w:szCs w:val="24"/>
        </w:rPr>
      </w:pPr>
      <w:r w:rsidRPr="001163D5">
        <w:rPr>
          <w:sz w:val="24"/>
          <w:szCs w:val="24"/>
        </w:rPr>
        <w:t>Maintain a diverse asset allocation including equity, debt, and alternative investments, balancing growth, income and liquidity.</w:t>
      </w:r>
    </w:p>
    <w:p w:rsidR="00162240" w:rsidRPr="001163D5" w:rsidRDefault="00162240" w:rsidP="00162240">
      <w:pPr>
        <w:ind w:left="-1080"/>
        <w:rPr>
          <w:sz w:val="24"/>
          <w:szCs w:val="24"/>
        </w:rPr>
      </w:pPr>
    </w:p>
    <w:p w:rsidR="00162240" w:rsidRPr="001163D5" w:rsidRDefault="00162240" w:rsidP="00162240">
      <w:pPr>
        <w:numPr>
          <w:ilvl w:val="0"/>
          <w:numId w:val="34"/>
        </w:numPr>
        <w:ind w:left="-720"/>
        <w:rPr>
          <w:sz w:val="24"/>
          <w:szCs w:val="24"/>
        </w:rPr>
      </w:pPr>
      <w:r w:rsidRPr="001163D5">
        <w:rPr>
          <w:sz w:val="24"/>
          <w:szCs w:val="24"/>
        </w:rPr>
        <w:t>The Foundation recognizes</w:t>
      </w:r>
      <w:r w:rsidR="008C20B4" w:rsidRPr="001163D5">
        <w:rPr>
          <w:sz w:val="24"/>
          <w:szCs w:val="24"/>
        </w:rPr>
        <w:t xml:space="preserve"> that the State of Connecticut </w:t>
      </w:r>
      <w:r w:rsidRPr="001163D5">
        <w:rPr>
          <w:sz w:val="24"/>
          <w:szCs w:val="24"/>
        </w:rPr>
        <w:t xml:space="preserve">has adopted a version of the Uniform Prudent Management of Institutional Funds Act (UPMIFA) and will comply with the Act and other relevant laws and regulations.  </w:t>
      </w:r>
    </w:p>
    <w:p w:rsidR="00162240" w:rsidRPr="001163D5" w:rsidRDefault="00162240" w:rsidP="00162240">
      <w:pPr>
        <w:rPr>
          <w:sz w:val="24"/>
          <w:szCs w:val="24"/>
        </w:rPr>
      </w:pPr>
    </w:p>
    <w:p w:rsidR="003772D7" w:rsidRPr="001163D5" w:rsidRDefault="00162240" w:rsidP="00E0569E">
      <w:pPr>
        <w:numPr>
          <w:ilvl w:val="0"/>
          <w:numId w:val="34"/>
        </w:numPr>
        <w:ind w:left="-720"/>
        <w:rPr>
          <w:sz w:val="24"/>
          <w:szCs w:val="24"/>
        </w:rPr>
      </w:pPr>
      <w:r w:rsidRPr="001163D5">
        <w:rPr>
          <w:sz w:val="24"/>
          <w:szCs w:val="24"/>
        </w:rPr>
        <w:t>The Investment Committee reviews the spending policy annually and presents a recommendation to the Board for approval.</w:t>
      </w:r>
      <w:r w:rsidR="003772D7" w:rsidRPr="001163D5">
        <w:rPr>
          <w:sz w:val="24"/>
          <w:szCs w:val="24"/>
        </w:rPr>
        <w:br/>
      </w:r>
    </w:p>
    <w:p w:rsidR="0076001B" w:rsidRPr="001163D5" w:rsidRDefault="008A3316" w:rsidP="00323E47">
      <w:pPr>
        <w:numPr>
          <w:ilvl w:val="0"/>
          <w:numId w:val="4"/>
        </w:numPr>
        <w:tabs>
          <w:tab w:val="clear" w:pos="360"/>
          <w:tab w:val="num" w:pos="-1080"/>
        </w:tabs>
        <w:ind w:left="-1080"/>
        <w:rPr>
          <w:sz w:val="24"/>
          <w:szCs w:val="24"/>
        </w:rPr>
      </w:pPr>
      <w:r w:rsidRPr="001163D5">
        <w:rPr>
          <w:b/>
          <w:sz w:val="24"/>
          <w:szCs w:val="24"/>
          <w:u w:val="single"/>
        </w:rPr>
        <w:t>Goals and Objectives</w:t>
      </w:r>
    </w:p>
    <w:p w:rsidR="0076001B" w:rsidRPr="001163D5" w:rsidRDefault="0076001B" w:rsidP="00323E47">
      <w:pPr>
        <w:ind w:left="-1440"/>
        <w:rPr>
          <w:sz w:val="24"/>
          <w:szCs w:val="24"/>
        </w:rPr>
      </w:pPr>
    </w:p>
    <w:p w:rsidR="0076001B" w:rsidRPr="001163D5" w:rsidRDefault="0076001B" w:rsidP="00E0569E">
      <w:pPr>
        <w:numPr>
          <w:ilvl w:val="0"/>
          <w:numId w:val="35"/>
        </w:numPr>
        <w:ind w:left="-720"/>
        <w:rPr>
          <w:sz w:val="24"/>
          <w:szCs w:val="24"/>
        </w:rPr>
      </w:pPr>
      <w:r w:rsidRPr="001163D5">
        <w:rPr>
          <w:sz w:val="24"/>
          <w:szCs w:val="24"/>
        </w:rPr>
        <w:t xml:space="preserve">The primary </w:t>
      </w:r>
      <w:r w:rsidR="00F80667" w:rsidRPr="001163D5">
        <w:rPr>
          <w:sz w:val="24"/>
          <w:szCs w:val="24"/>
        </w:rPr>
        <w:t xml:space="preserve">objective </w:t>
      </w:r>
      <w:r w:rsidRPr="001163D5">
        <w:rPr>
          <w:sz w:val="24"/>
          <w:szCs w:val="24"/>
        </w:rPr>
        <w:t xml:space="preserve">of the Foundation’s investment program is to achieve a long term real return (after inflation) of </w:t>
      </w:r>
      <w:r w:rsidR="00247B6B" w:rsidRPr="001163D5">
        <w:rPr>
          <w:sz w:val="24"/>
          <w:szCs w:val="24"/>
        </w:rPr>
        <w:t>4.</w:t>
      </w:r>
      <w:r w:rsidRPr="001163D5">
        <w:rPr>
          <w:sz w:val="24"/>
          <w:szCs w:val="24"/>
        </w:rPr>
        <w:t xml:space="preserve">5% per </w:t>
      </w:r>
      <w:r w:rsidR="00461778" w:rsidRPr="001163D5">
        <w:rPr>
          <w:sz w:val="24"/>
          <w:szCs w:val="24"/>
        </w:rPr>
        <w:t>year</w:t>
      </w:r>
      <w:r w:rsidRPr="001163D5">
        <w:rPr>
          <w:sz w:val="24"/>
          <w:szCs w:val="24"/>
        </w:rPr>
        <w:t xml:space="preserve">. </w:t>
      </w:r>
    </w:p>
    <w:p w:rsidR="0076001B" w:rsidRPr="001163D5" w:rsidRDefault="0076001B" w:rsidP="00E0569E">
      <w:pPr>
        <w:ind w:left="-720"/>
        <w:rPr>
          <w:sz w:val="24"/>
          <w:szCs w:val="24"/>
        </w:rPr>
      </w:pPr>
    </w:p>
    <w:p w:rsidR="0076001B" w:rsidRPr="001163D5" w:rsidRDefault="0076001B" w:rsidP="00E0569E">
      <w:pPr>
        <w:numPr>
          <w:ilvl w:val="0"/>
          <w:numId w:val="35"/>
        </w:numPr>
        <w:ind w:left="-720"/>
        <w:rPr>
          <w:sz w:val="24"/>
          <w:szCs w:val="24"/>
        </w:rPr>
      </w:pPr>
      <w:r w:rsidRPr="001163D5">
        <w:rPr>
          <w:sz w:val="24"/>
          <w:szCs w:val="24"/>
        </w:rPr>
        <w:t>The investment program is diversified among asset classes in order to improve performance and lessen investment risk.</w:t>
      </w:r>
    </w:p>
    <w:p w:rsidR="0076001B" w:rsidRPr="001163D5" w:rsidRDefault="0076001B" w:rsidP="00E0569E">
      <w:pPr>
        <w:ind w:left="-720"/>
        <w:rPr>
          <w:sz w:val="24"/>
          <w:szCs w:val="24"/>
        </w:rPr>
      </w:pPr>
    </w:p>
    <w:p w:rsidR="0076001B" w:rsidRPr="001163D5" w:rsidRDefault="0076001B" w:rsidP="00E0569E">
      <w:pPr>
        <w:numPr>
          <w:ilvl w:val="0"/>
          <w:numId w:val="35"/>
        </w:numPr>
        <w:ind w:left="-720"/>
        <w:rPr>
          <w:sz w:val="24"/>
          <w:szCs w:val="24"/>
        </w:rPr>
      </w:pPr>
      <w:r w:rsidRPr="001163D5">
        <w:rPr>
          <w:sz w:val="24"/>
          <w:szCs w:val="24"/>
        </w:rPr>
        <w:t xml:space="preserve">The liquidity needs of the </w:t>
      </w:r>
      <w:r w:rsidR="00F80667" w:rsidRPr="001163D5">
        <w:rPr>
          <w:sz w:val="24"/>
          <w:szCs w:val="24"/>
        </w:rPr>
        <w:t xml:space="preserve">Foundation’s </w:t>
      </w:r>
      <w:r w:rsidRPr="001163D5">
        <w:rPr>
          <w:sz w:val="24"/>
          <w:szCs w:val="24"/>
        </w:rPr>
        <w:t>funds are reviewed at least annually.</w:t>
      </w:r>
    </w:p>
    <w:p w:rsidR="0076001B" w:rsidRPr="001163D5" w:rsidRDefault="0076001B" w:rsidP="00323E47">
      <w:pPr>
        <w:rPr>
          <w:sz w:val="24"/>
          <w:szCs w:val="24"/>
        </w:rPr>
      </w:pPr>
    </w:p>
    <w:p w:rsidR="0076001B" w:rsidRPr="001163D5" w:rsidRDefault="0076001B" w:rsidP="00323E47">
      <w:pPr>
        <w:numPr>
          <w:ilvl w:val="0"/>
          <w:numId w:val="4"/>
        </w:numPr>
        <w:tabs>
          <w:tab w:val="clear" w:pos="360"/>
          <w:tab w:val="num" w:pos="-1080"/>
        </w:tabs>
        <w:ind w:left="-1080"/>
        <w:rPr>
          <w:sz w:val="24"/>
          <w:szCs w:val="24"/>
        </w:rPr>
      </w:pPr>
      <w:r w:rsidRPr="001163D5">
        <w:rPr>
          <w:b/>
          <w:sz w:val="24"/>
          <w:szCs w:val="24"/>
          <w:u w:val="single"/>
        </w:rPr>
        <w:t>Investment Responsibility</w:t>
      </w:r>
    </w:p>
    <w:p w:rsidR="0076001B" w:rsidRPr="001163D5" w:rsidRDefault="0076001B" w:rsidP="00323E47">
      <w:pPr>
        <w:ind w:left="-1440"/>
        <w:rPr>
          <w:sz w:val="24"/>
          <w:szCs w:val="24"/>
        </w:rPr>
      </w:pPr>
    </w:p>
    <w:p w:rsidR="0076001B" w:rsidRPr="001163D5" w:rsidRDefault="0076001B" w:rsidP="00E0569E">
      <w:pPr>
        <w:numPr>
          <w:ilvl w:val="0"/>
          <w:numId w:val="36"/>
        </w:numPr>
        <w:ind w:left="-720"/>
        <w:rPr>
          <w:sz w:val="24"/>
          <w:szCs w:val="24"/>
        </w:rPr>
      </w:pPr>
      <w:r w:rsidRPr="001163D5">
        <w:rPr>
          <w:sz w:val="24"/>
          <w:szCs w:val="24"/>
        </w:rPr>
        <w:t xml:space="preserve">The Board </w:t>
      </w:r>
      <w:r w:rsidR="00323E47" w:rsidRPr="001163D5">
        <w:rPr>
          <w:sz w:val="24"/>
          <w:szCs w:val="24"/>
        </w:rPr>
        <w:t xml:space="preserve">has delegated to the Investment Committee </w:t>
      </w:r>
      <w:r w:rsidRPr="001163D5">
        <w:rPr>
          <w:sz w:val="24"/>
          <w:szCs w:val="24"/>
        </w:rPr>
        <w:t xml:space="preserve">the establishment </w:t>
      </w:r>
      <w:r w:rsidR="00461778" w:rsidRPr="001163D5">
        <w:rPr>
          <w:sz w:val="24"/>
          <w:szCs w:val="24"/>
        </w:rPr>
        <w:t xml:space="preserve">and recommendation </w:t>
      </w:r>
      <w:r w:rsidRPr="001163D5">
        <w:rPr>
          <w:sz w:val="24"/>
          <w:szCs w:val="24"/>
        </w:rPr>
        <w:t>of investment policy for all assets</w:t>
      </w:r>
      <w:r w:rsidR="006C575E" w:rsidRPr="001163D5">
        <w:rPr>
          <w:sz w:val="24"/>
          <w:szCs w:val="24"/>
        </w:rPr>
        <w:t>, subject to B</w:t>
      </w:r>
      <w:r w:rsidR="00BB390F" w:rsidRPr="001163D5">
        <w:rPr>
          <w:sz w:val="24"/>
          <w:szCs w:val="24"/>
        </w:rPr>
        <w:t>oard approval</w:t>
      </w:r>
      <w:r w:rsidRPr="001163D5">
        <w:rPr>
          <w:sz w:val="24"/>
          <w:szCs w:val="24"/>
        </w:rPr>
        <w:t>.</w:t>
      </w:r>
    </w:p>
    <w:p w:rsidR="0076001B" w:rsidRPr="001163D5" w:rsidRDefault="0076001B" w:rsidP="00E0569E">
      <w:pPr>
        <w:ind w:left="-720"/>
        <w:rPr>
          <w:sz w:val="24"/>
          <w:szCs w:val="24"/>
        </w:rPr>
      </w:pPr>
    </w:p>
    <w:p w:rsidR="0076001B" w:rsidRPr="001163D5" w:rsidRDefault="00461778" w:rsidP="00E0569E">
      <w:pPr>
        <w:numPr>
          <w:ilvl w:val="0"/>
          <w:numId w:val="36"/>
        </w:numPr>
        <w:ind w:left="-720"/>
        <w:rPr>
          <w:sz w:val="24"/>
          <w:szCs w:val="24"/>
        </w:rPr>
      </w:pPr>
      <w:r w:rsidRPr="001163D5">
        <w:rPr>
          <w:sz w:val="24"/>
          <w:szCs w:val="24"/>
        </w:rPr>
        <w:t>The</w:t>
      </w:r>
      <w:r w:rsidR="0076001B" w:rsidRPr="001163D5">
        <w:rPr>
          <w:sz w:val="24"/>
          <w:szCs w:val="24"/>
        </w:rPr>
        <w:t xml:space="preserve"> </w:t>
      </w:r>
      <w:r w:rsidR="00323E47" w:rsidRPr="001163D5">
        <w:rPr>
          <w:sz w:val="24"/>
          <w:szCs w:val="24"/>
        </w:rPr>
        <w:t xml:space="preserve">Investment </w:t>
      </w:r>
      <w:r w:rsidR="0076001B" w:rsidRPr="001163D5">
        <w:rPr>
          <w:sz w:val="24"/>
          <w:szCs w:val="24"/>
        </w:rPr>
        <w:t>Committee determin</w:t>
      </w:r>
      <w:r w:rsidRPr="001163D5">
        <w:rPr>
          <w:sz w:val="24"/>
          <w:szCs w:val="24"/>
        </w:rPr>
        <w:t>es</w:t>
      </w:r>
      <w:r w:rsidR="0076001B" w:rsidRPr="001163D5">
        <w:rPr>
          <w:sz w:val="24"/>
          <w:szCs w:val="24"/>
        </w:rPr>
        <w:t xml:space="preserve"> the broad asset allocation among various asset classes, design</w:t>
      </w:r>
      <w:r w:rsidRPr="001163D5">
        <w:rPr>
          <w:sz w:val="24"/>
          <w:szCs w:val="24"/>
        </w:rPr>
        <w:t>s</w:t>
      </w:r>
      <w:r w:rsidR="00323E47" w:rsidRPr="001163D5">
        <w:rPr>
          <w:sz w:val="24"/>
          <w:szCs w:val="24"/>
        </w:rPr>
        <w:t xml:space="preserve"> the </w:t>
      </w:r>
      <w:r w:rsidR="0076001B" w:rsidRPr="001163D5">
        <w:rPr>
          <w:sz w:val="24"/>
          <w:szCs w:val="24"/>
        </w:rPr>
        <w:t xml:space="preserve">investment structure for each asset class, </w:t>
      </w:r>
      <w:r w:rsidRPr="001163D5">
        <w:rPr>
          <w:sz w:val="24"/>
          <w:szCs w:val="24"/>
        </w:rPr>
        <w:t xml:space="preserve">recommends </w:t>
      </w:r>
      <w:r w:rsidR="00323E47" w:rsidRPr="001163D5">
        <w:rPr>
          <w:sz w:val="24"/>
          <w:szCs w:val="24"/>
        </w:rPr>
        <w:t>ret</w:t>
      </w:r>
      <w:r w:rsidRPr="001163D5">
        <w:rPr>
          <w:sz w:val="24"/>
          <w:szCs w:val="24"/>
        </w:rPr>
        <w:t>ention</w:t>
      </w:r>
      <w:r w:rsidR="00323E47" w:rsidRPr="001163D5">
        <w:rPr>
          <w:sz w:val="24"/>
          <w:szCs w:val="24"/>
        </w:rPr>
        <w:t xml:space="preserve"> </w:t>
      </w:r>
      <w:r w:rsidRPr="001163D5">
        <w:rPr>
          <w:sz w:val="24"/>
          <w:szCs w:val="24"/>
        </w:rPr>
        <w:t xml:space="preserve">or termination of </w:t>
      </w:r>
      <w:r w:rsidR="0076001B" w:rsidRPr="001163D5">
        <w:rPr>
          <w:sz w:val="24"/>
          <w:szCs w:val="24"/>
        </w:rPr>
        <w:t xml:space="preserve">investment </w:t>
      </w:r>
      <w:r w:rsidR="00323E47" w:rsidRPr="001163D5">
        <w:rPr>
          <w:sz w:val="24"/>
          <w:szCs w:val="24"/>
        </w:rPr>
        <w:t xml:space="preserve">consultants and other professionals, </w:t>
      </w:r>
      <w:r w:rsidR="0076001B" w:rsidRPr="001163D5">
        <w:rPr>
          <w:sz w:val="24"/>
          <w:szCs w:val="24"/>
        </w:rPr>
        <w:t>and monitor</w:t>
      </w:r>
      <w:r w:rsidRPr="001163D5">
        <w:rPr>
          <w:sz w:val="24"/>
          <w:szCs w:val="24"/>
        </w:rPr>
        <w:t>s</w:t>
      </w:r>
      <w:r w:rsidR="00F80667" w:rsidRPr="001163D5">
        <w:rPr>
          <w:sz w:val="24"/>
          <w:szCs w:val="24"/>
        </w:rPr>
        <w:t xml:space="preserve"> </w:t>
      </w:r>
      <w:r w:rsidR="0076001B" w:rsidRPr="001163D5">
        <w:rPr>
          <w:sz w:val="24"/>
          <w:szCs w:val="24"/>
        </w:rPr>
        <w:t>investment results.</w:t>
      </w:r>
    </w:p>
    <w:p w:rsidR="0076001B" w:rsidRPr="001163D5" w:rsidRDefault="0076001B" w:rsidP="00E0569E">
      <w:pPr>
        <w:ind w:left="-720"/>
        <w:rPr>
          <w:sz w:val="24"/>
          <w:szCs w:val="24"/>
        </w:rPr>
      </w:pPr>
      <w:bookmarkStart w:id="0" w:name="_GoBack"/>
      <w:bookmarkEnd w:id="0"/>
    </w:p>
    <w:p w:rsidR="0076001B" w:rsidRPr="001163D5" w:rsidRDefault="0076001B" w:rsidP="00E0569E">
      <w:pPr>
        <w:numPr>
          <w:ilvl w:val="0"/>
          <w:numId w:val="36"/>
        </w:numPr>
        <w:ind w:left="-720"/>
        <w:rPr>
          <w:sz w:val="24"/>
          <w:szCs w:val="24"/>
        </w:rPr>
      </w:pPr>
      <w:r w:rsidRPr="001163D5">
        <w:rPr>
          <w:sz w:val="24"/>
          <w:szCs w:val="24"/>
        </w:rPr>
        <w:lastRenderedPageBreak/>
        <w:t xml:space="preserve">The </w:t>
      </w:r>
      <w:r w:rsidR="000210D3" w:rsidRPr="001163D5">
        <w:rPr>
          <w:sz w:val="24"/>
          <w:szCs w:val="24"/>
        </w:rPr>
        <w:t xml:space="preserve">Investment </w:t>
      </w:r>
      <w:r w:rsidRPr="001163D5">
        <w:rPr>
          <w:sz w:val="24"/>
          <w:szCs w:val="24"/>
        </w:rPr>
        <w:t xml:space="preserve">Committee reports to the Board </w:t>
      </w:r>
      <w:r w:rsidR="00461778" w:rsidRPr="001163D5">
        <w:rPr>
          <w:sz w:val="24"/>
          <w:szCs w:val="24"/>
        </w:rPr>
        <w:t xml:space="preserve">quarterly </w:t>
      </w:r>
      <w:r w:rsidRPr="001163D5">
        <w:rPr>
          <w:sz w:val="24"/>
          <w:szCs w:val="24"/>
        </w:rPr>
        <w:t xml:space="preserve">on all </w:t>
      </w:r>
      <w:r w:rsidR="000210D3" w:rsidRPr="001163D5">
        <w:rPr>
          <w:sz w:val="24"/>
          <w:szCs w:val="24"/>
        </w:rPr>
        <w:t>Foundation</w:t>
      </w:r>
      <w:r w:rsidRPr="001163D5">
        <w:rPr>
          <w:sz w:val="24"/>
          <w:szCs w:val="24"/>
        </w:rPr>
        <w:t xml:space="preserve"> investment programs</w:t>
      </w:r>
      <w:r w:rsidR="00461778" w:rsidRPr="001163D5">
        <w:rPr>
          <w:sz w:val="24"/>
          <w:szCs w:val="24"/>
        </w:rPr>
        <w:t>, and makes recommendations on the Foundation’s investment and spending policies</w:t>
      </w:r>
      <w:r w:rsidR="00F80667" w:rsidRPr="001163D5">
        <w:rPr>
          <w:sz w:val="24"/>
          <w:szCs w:val="24"/>
        </w:rPr>
        <w:t>.</w:t>
      </w:r>
    </w:p>
    <w:p w:rsidR="006C575E" w:rsidRPr="001163D5" w:rsidRDefault="006C575E" w:rsidP="002B1482">
      <w:pPr>
        <w:pStyle w:val="ListContinue2"/>
        <w:spacing w:after="0"/>
        <w:ind w:left="-720"/>
        <w:rPr>
          <w:rFonts w:ascii="Times New Roman" w:hAnsi="Times New Roman"/>
          <w:szCs w:val="24"/>
        </w:rPr>
      </w:pPr>
    </w:p>
    <w:p w:rsidR="006C575E" w:rsidRPr="001163D5" w:rsidRDefault="002B1482" w:rsidP="002B1482">
      <w:pPr>
        <w:pStyle w:val="ListContinue2"/>
        <w:numPr>
          <w:ilvl w:val="0"/>
          <w:numId w:val="36"/>
        </w:numPr>
        <w:spacing w:after="0"/>
        <w:ind w:left="-720"/>
        <w:rPr>
          <w:rFonts w:ascii="Times New Roman" w:hAnsi="Times New Roman"/>
          <w:szCs w:val="24"/>
        </w:rPr>
      </w:pPr>
      <w:r w:rsidRPr="001163D5">
        <w:rPr>
          <w:rFonts w:ascii="Times New Roman" w:hAnsi="Times New Roman"/>
          <w:szCs w:val="24"/>
        </w:rPr>
        <w:t>The Foundation</w:t>
      </w:r>
      <w:r w:rsidR="006C575E" w:rsidRPr="001163D5">
        <w:rPr>
          <w:rFonts w:ascii="Times New Roman" w:hAnsi="Times New Roman"/>
          <w:szCs w:val="24"/>
        </w:rPr>
        <w:t xml:space="preserve"> Staff (Staff) is responsible for implementing decisions reached by the Investment Committee, serving as a liaison between the Committee and outside parties, ensuring there is sufficient cash on hand to meet funding commitments, maintaining books and records, and filing the necessary tax and regulatory documents.  </w:t>
      </w:r>
      <w:r w:rsidR="006C575E" w:rsidRPr="001163D5" w:rsidDel="0031148B">
        <w:rPr>
          <w:rFonts w:ascii="Times New Roman" w:hAnsi="Times New Roman"/>
          <w:szCs w:val="24"/>
        </w:rPr>
        <w:t xml:space="preserve"> </w:t>
      </w:r>
    </w:p>
    <w:p w:rsidR="006C575E" w:rsidRPr="001163D5" w:rsidRDefault="006C575E" w:rsidP="002B1482">
      <w:pPr>
        <w:ind w:left="-720"/>
        <w:rPr>
          <w:sz w:val="24"/>
          <w:szCs w:val="24"/>
        </w:rPr>
      </w:pPr>
    </w:p>
    <w:p w:rsidR="006C575E" w:rsidRPr="001163D5" w:rsidRDefault="006C575E" w:rsidP="002B1482">
      <w:pPr>
        <w:pStyle w:val="BodyText"/>
        <w:numPr>
          <w:ilvl w:val="0"/>
          <w:numId w:val="36"/>
        </w:numPr>
        <w:ind w:left="-720"/>
        <w:rPr>
          <w:rFonts w:ascii="Times New Roman" w:hAnsi="Times New Roman"/>
          <w:sz w:val="24"/>
          <w:szCs w:val="24"/>
        </w:rPr>
      </w:pPr>
      <w:r w:rsidRPr="001163D5">
        <w:rPr>
          <w:rFonts w:ascii="Times New Roman" w:hAnsi="Times New Roman"/>
          <w:sz w:val="24"/>
          <w:szCs w:val="24"/>
        </w:rPr>
        <w:t>The Investment Consultant shall assist Staff and the Committee in developing and modifying policy objectives and guidelines, including the development of asset allocation strategies, recommendations on long-term asset allocation and the appropriate mix of investment mana</w:t>
      </w:r>
      <w:r w:rsidR="002B1482" w:rsidRPr="001163D5">
        <w:rPr>
          <w:rFonts w:ascii="Times New Roman" w:hAnsi="Times New Roman"/>
          <w:sz w:val="24"/>
          <w:szCs w:val="24"/>
        </w:rPr>
        <w:t>ger styles and strategies. The C</w:t>
      </w:r>
      <w:r w:rsidRPr="001163D5">
        <w:rPr>
          <w:rFonts w:ascii="Times New Roman" w:hAnsi="Times New Roman"/>
          <w:sz w:val="24"/>
          <w:szCs w:val="24"/>
        </w:rPr>
        <w:t>onsultant shall also provide assistance in manager searches and selection, and in investment performance calculation, evaluation, and analysis.  The consultant shall provide timely information, written and/or oral, on investment strategies, instruments, managers and other related issues, as requested by Staff or the Committee.</w:t>
      </w:r>
    </w:p>
    <w:p w:rsidR="006C575E" w:rsidRPr="001163D5" w:rsidRDefault="006C575E" w:rsidP="002B1482">
      <w:pPr>
        <w:pStyle w:val="List3"/>
        <w:spacing w:after="0"/>
        <w:ind w:left="0" w:firstLine="0"/>
        <w:rPr>
          <w:rFonts w:ascii="Times New Roman" w:hAnsi="Times New Roman"/>
          <w:szCs w:val="24"/>
        </w:rPr>
      </w:pPr>
    </w:p>
    <w:p w:rsidR="006C575E" w:rsidRPr="001163D5" w:rsidRDefault="002B1482" w:rsidP="00616D6B">
      <w:pPr>
        <w:numPr>
          <w:ilvl w:val="0"/>
          <w:numId w:val="11"/>
        </w:numPr>
        <w:ind w:left="-720"/>
        <w:rPr>
          <w:sz w:val="24"/>
          <w:szCs w:val="24"/>
        </w:rPr>
      </w:pPr>
      <w:r w:rsidRPr="001163D5">
        <w:rPr>
          <w:sz w:val="24"/>
          <w:szCs w:val="24"/>
        </w:rPr>
        <w:t>The Investment Committee recognizes that it cannot give</w:t>
      </w:r>
      <w:r w:rsidR="00620F91" w:rsidRPr="001163D5">
        <w:rPr>
          <w:sz w:val="24"/>
          <w:szCs w:val="24"/>
        </w:rPr>
        <w:t xml:space="preserve"> specific policy directives to </w:t>
      </w:r>
      <w:r w:rsidRPr="001163D5">
        <w:rPr>
          <w:sz w:val="24"/>
          <w:szCs w:val="24"/>
        </w:rPr>
        <w:t>commingled fund investment manager</w:t>
      </w:r>
      <w:r w:rsidR="00620F91" w:rsidRPr="001163D5">
        <w:rPr>
          <w:sz w:val="24"/>
          <w:szCs w:val="24"/>
        </w:rPr>
        <w:t>s</w:t>
      </w:r>
      <w:r w:rsidRPr="001163D5">
        <w:rPr>
          <w:sz w:val="24"/>
          <w:szCs w:val="24"/>
        </w:rPr>
        <w:t xml:space="preserve">.  </w:t>
      </w:r>
      <w:r w:rsidR="006C575E" w:rsidRPr="001163D5">
        <w:rPr>
          <w:sz w:val="24"/>
          <w:szCs w:val="24"/>
        </w:rPr>
        <w:t xml:space="preserve">Examples </w:t>
      </w:r>
      <w:r w:rsidRPr="001163D5">
        <w:rPr>
          <w:sz w:val="24"/>
          <w:szCs w:val="24"/>
        </w:rPr>
        <w:t>include</w:t>
      </w:r>
      <w:r w:rsidR="006C575E" w:rsidRPr="001163D5">
        <w:rPr>
          <w:sz w:val="24"/>
          <w:szCs w:val="24"/>
        </w:rPr>
        <w:t xml:space="preserve"> mutual funds, bank collective funds, and limited partnerships.  Since the duties and responsibilities shall be set forth in t</w:t>
      </w:r>
      <w:r w:rsidRPr="001163D5">
        <w:rPr>
          <w:sz w:val="24"/>
          <w:szCs w:val="24"/>
        </w:rPr>
        <w:t>he fund’s governing documents</w:t>
      </w:r>
      <w:r w:rsidR="006C575E" w:rsidRPr="001163D5">
        <w:rPr>
          <w:sz w:val="24"/>
          <w:szCs w:val="24"/>
        </w:rPr>
        <w:t>, the</w:t>
      </w:r>
      <w:r w:rsidRPr="001163D5">
        <w:rPr>
          <w:sz w:val="24"/>
          <w:szCs w:val="24"/>
        </w:rPr>
        <w:t xml:space="preserve"> Investment</w:t>
      </w:r>
      <w:r w:rsidR="006C575E" w:rsidRPr="001163D5">
        <w:rPr>
          <w:sz w:val="24"/>
          <w:szCs w:val="24"/>
        </w:rPr>
        <w:t xml:space="preserve"> Committee</w:t>
      </w:r>
      <w:r w:rsidRPr="001163D5">
        <w:rPr>
          <w:sz w:val="24"/>
          <w:szCs w:val="24"/>
        </w:rPr>
        <w:t xml:space="preserve"> and Staff</w:t>
      </w:r>
      <w:r w:rsidR="006C575E" w:rsidRPr="001163D5">
        <w:rPr>
          <w:sz w:val="24"/>
          <w:szCs w:val="24"/>
        </w:rPr>
        <w:t>, with the assistance of the Investment Consultant, shall evaluate the investment manager’s duties and responsibilities to investors as set forth in the fund’s governing documents and shall include that evaluation as a factor in any determination of the suitability of the investment</w:t>
      </w:r>
      <w:r w:rsidR="00616D6B" w:rsidRPr="001163D5">
        <w:rPr>
          <w:sz w:val="24"/>
          <w:szCs w:val="24"/>
        </w:rPr>
        <w:t xml:space="preserve"> for approval by the Investment Committee</w:t>
      </w:r>
      <w:r w:rsidR="006C575E" w:rsidRPr="001163D5">
        <w:rPr>
          <w:sz w:val="24"/>
          <w:szCs w:val="24"/>
        </w:rPr>
        <w:t xml:space="preserve">.  </w:t>
      </w:r>
      <w:r w:rsidR="00616D6B" w:rsidRPr="001163D5">
        <w:rPr>
          <w:sz w:val="24"/>
          <w:szCs w:val="24"/>
        </w:rPr>
        <w:t>Commingled funds may be used across all asset classes including Master Trustee/Master Custodian commingled short term investment funds and related institutional money market mutual funds.</w:t>
      </w:r>
    </w:p>
    <w:p w:rsidR="0076001B" w:rsidRPr="001163D5" w:rsidRDefault="0076001B" w:rsidP="00323E47">
      <w:pPr>
        <w:rPr>
          <w:sz w:val="24"/>
          <w:szCs w:val="24"/>
        </w:rPr>
      </w:pPr>
    </w:p>
    <w:p w:rsidR="0076001B" w:rsidRPr="001163D5" w:rsidRDefault="0076001B" w:rsidP="00323E47">
      <w:pPr>
        <w:numPr>
          <w:ilvl w:val="0"/>
          <w:numId w:val="4"/>
        </w:numPr>
        <w:tabs>
          <w:tab w:val="clear" w:pos="360"/>
          <w:tab w:val="num" w:pos="-1080"/>
        </w:tabs>
        <w:ind w:left="-1080"/>
        <w:rPr>
          <w:sz w:val="24"/>
          <w:szCs w:val="24"/>
        </w:rPr>
      </w:pPr>
      <w:r w:rsidRPr="001163D5">
        <w:rPr>
          <w:b/>
          <w:sz w:val="24"/>
          <w:szCs w:val="24"/>
          <w:u w:val="single"/>
        </w:rPr>
        <w:t>Investment Strategies</w:t>
      </w:r>
    </w:p>
    <w:p w:rsidR="0076001B" w:rsidRPr="001163D5" w:rsidRDefault="0076001B" w:rsidP="00323E47">
      <w:pPr>
        <w:ind w:left="-1440"/>
        <w:rPr>
          <w:sz w:val="24"/>
          <w:szCs w:val="24"/>
        </w:rPr>
      </w:pPr>
    </w:p>
    <w:p w:rsidR="0076001B" w:rsidRPr="001163D5" w:rsidRDefault="0076001B" w:rsidP="00E0569E">
      <w:pPr>
        <w:numPr>
          <w:ilvl w:val="0"/>
          <w:numId w:val="37"/>
        </w:numPr>
        <w:ind w:left="-720"/>
        <w:rPr>
          <w:sz w:val="24"/>
          <w:szCs w:val="24"/>
        </w:rPr>
      </w:pPr>
      <w:r w:rsidRPr="001163D5">
        <w:rPr>
          <w:sz w:val="24"/>
          <w:szCs w:val="24"/>
        </w:rPr>
        <w:t xml:space="preserve">The </w:t>
      </w:r>
      <w:r w:rsidR="000210D3" w:rsidRPr="001163D5">
        <w:rPr>
          <w:sz w:val="24"/>
          <w:szCs w:val="24"/>
        </w:rPr>
        <w:t>Investment</w:t>
      </w:r>
      <w:r w:rsidRPr="001163D5">
        <w:rPr>
          <w:sz w:val="24"/>
          <w:szCs w:val="24"/>
        </w:rPr>
        <w:t xml:space="preserve"> Committee periodically recommends to the Board an allocation of the portfolio among equities, fixed income</w:t>
      </w:r>
      <w:r w:rsidR="00461778" w:rsidRPr="001163D5">
        <w:rPr>
          <w:sz w:val="24"/>
          <w:szCs w:val="24"/>
        </w:rPr>
        <w:t>/cash</w:t>
      </w:r>
      <w:r w:rsidRPr="001163D5">
        <w:rPr>
          <w:sz w:val="24"/>
          <w:szCs w:val="24"/>
        </w:rPr>
        <w:t xml:space="preserve">, and </w:t>
      </w:r>
      <w:r w:rsidR="00461778" w:rsidRPr="001163D5">
        <w:rPr>
          <w:sz w:val="24"/>
          <w:szCs w:val="24"/>
        </w:rPr>
        <w:t xml:space="preserve">alternative </w:t>
      </w:r>
      <w:r w:rsidRPr="001163D5">
        <w:rPr>
          <w:sz w:val="24"/>
          <w:szCs w:val="24"/>
        </w:rPr>
        <w:t xml:space="preserve">investment opportunities. </w:t>
      </w:r>
      <w:r w:rsidR="00461778" w:rsidRPr="001163D5">
        <w:rPr>
          <w:sz w:val="24"/>
          <w:szCs w:val="24"/>
        </w:rPr>
        <w:t>With the help of an independent</w:t>
      </w:r>
      <w:r w:rsidR="00620F91" w:rsidRPr="001163D5">
        <w:rPr>
          <w:sz w:val="24"/>
          <w:szCs w:val="24"/>
        </w:rPr>
        <w:t xml:space="preserve"> C</w:t>
      </w:r>
      <w:r w:rsidR="00461778" w:rsidRPr="001163D5">
        <w:rPr>
          <w:sz w:val="24"/>
          <w:szCs w:val="24"/>
        </w:rPr>
        <w:t xml:space="preserve">onsultant, the Investment Committee deploys an </w:t>
      </w:r>
      <w:r w:rsidRPr="001163D5">
        <w:rPr>
          <w:sz w:val="24"/>
          <w:szCs w:val="24"/>
        </w:rPr>
        <w:t>asset allocation program which</w:t>
      </w:r>
      <w:r w:rsidR="00F80667" w:rsidRPr="001163D5">
        <w:rPr>
          <w:sz w:val="24"/>
          <w:szCs w:val="24"/>
        </w:rPr>
        <w:t xml:space="preserve"> </w:t>
      </w:r>
      <w:r w:rsidR="00BC0681" w:rsidRPr="001163D5">
        <w:rPr>
          <w:sz w:val="24"/>
          <w:szCs w:val="24"/>
        </w:rPr>
        <w:t xml:space="preserve">seeks strong </w:t>
      </w:r>
      <w:r w:rsidRPr="001163D5">
        <w:rPr>
          <w:sz w:val="24"/>
          <w:szCs w:val="24"/>
        </w:rPr>
        <w:t>return</w:t>
      </w:r>
      <w:r w:rsidR="00BC0681" w:rsidRPr="001163D5">
        <w:rPr>
          <w:sz w:val="24"/>
          <w:szCs w:val="24"/>
        </w:rPr>
        <w:t xml:space="preserve">s while limiting </w:t>
      </w:r>
      <w:r w:rsidRPr="001163D5">
        <w:rPr>
          <w:sz w:val="24"/>
          <w:szCs w:val="24"/>
        </w:rPr>
        <w:t>volatility.</w:t>
      </w:r>
      <w:r w:rsidR="00620F91" w:rsidRPr="001163D5">
        <w:rPr>
          <w:sz w:val="24"/>
          <w:szCs w:val="24"/>
        </w:rPr>
        <w:t xml:space="preserve">  The asset allocation target and ranges are in Appendix I.</w:t>
      </w:r>
    </w:p>
    <w:p w:rsidR="0076001B" w:rsidRPr="001163D5" w:rsidRDefault="0076001B" w:rsidP="00E0569E">
      <w:pPr>
        <w:ind w:left="-720"/>
        <w:rPr>
          <w:sz w:val="24"/>
          <w:szCs w:val="24"/>
        </w:rPr>
      </w:pPr>
    </w:p>
    <w:p w:rsidR="0076001B" w:rsidRPr="001163D5" w:rsidRDefault="0076001B" w:rsidP="00E0569E">
      <w:pPr>
        <w:numPr>
          <w:ilvl w:val="0"/>
          <w:numId w:val="38"/>
        </w:numPr>
        <w:ind w:left="-720"/>
        <w:rPr>
          <w:sz w:val="24"/>
          <w:szCs w:val="24"/>
        </w:rPr>
      </w:pPr>
      <w:r w:rsidRPr="001163D5">
        <w:rPr>
          <w:sz w:val="24"/>
          <w:szCs w:val="24"/>
        </w:rPr>
        <w:t xml:space="preserve">Investments are diversified within each asset class to </w:t>
      </w:r>
      <w:r w:rsidR="00BC0681" w:rsidRPr="001163D5">
        <w:rPr>
          <w:sz w:val="24"/>
          <w:szCs w:val="24"/>
        </w:rPr>
        <w:t xml:space="preserve">minimize the </w:t>
      </w:r>
      <w:r w:rsidRPr="001163D5">
        <w:rPr>
          <w:sz w:val="24"/>
          <w:szCs w:val="24"/>
        </w:rPr>
        <w:t xml:space="preserve">adverse effects of any </w:t>
      </w:r>
      <w:r w:rsidR="00BC0681" w:rsidRPr="001163D5">
        <w:rPr>
          <w:sz w:val="24"/>
          <w:szCs w:val="24"/>
        </w:rPr>
        <w:t xml:space="preserve">individual </w:t>
      </w:r>
      <w:r w:rsidRPr="001163D5">
        <w:rPr>
          <w:sz w:val="24"/>
          <w:szCs w:val="24"/>
        </w:rPr>
        <w:t>investment.</w:t>
      </w:r>
    </w:p>
    <w:p w:rsidR="0076001B" w:rsidRPr="001163D5" w:rsidRDefault="0076001B" w:rsidP="00E0569E">
      <w:pPr>
        <w:ind w:left="-720"/>
        <w:rPr>
          <w:sz w:val="24"/>
          <w:szCs w:val="24"/>
        </w:rPr>
      </w:pPr>
    </w:p>
    <w:p w:rsidR="0076001B" w:rsidRPr="001163D5" w:rsidRDefault="0076001B" w:rsidP="00E0569E">
      <w:pPr>
        <w:numPr>
          <w:ilvl w:val="0"/>
          <w:numId w:val="38"/>
        </w:numPr>
        <w:ind w:left="-720"/>
        <w:rPr>
          <w:sz w:val="24"/>
          <w:szCs w:val="24"/>
        </w:rPr>
      </w:pPr>
      <w:r w:rsidRPr="001163D5">
        <w:rPr>
          <w:sz w:val="24"/>
          <w:szCs w:val="24"/>
        </w:rPr>
        <w:t>Contributions are converted to cash as soon as practical for reinvestment.</w:t>
      </w:r>
    </w:p>
    <w:p w:rsidR="00620F91" w:rsidRPr="001163D5" w:rsidRDefault="00620F91" w:rsidP="00620F91">
      <w:pPr>
        <w:rPr>
          <w:sz w:val="24"/>
          <w:szCs w:val="24"/>
        </w:rPr>
      </w:pPr>
    </w:p>
    <w:p w:rsidR="0076001B" w:rsidRPr="001163D5" w:rsidRDefault="0076001B" w:rsidP="00E0569E">
      <w:pPr>
        <w:ind w:left="-720"/>
        <w:rPr>
          <w:sz w:val="24"/>
          <w:szCs w:val="24"/>
        </w:rPr>
      </w:pPr>
    </w:p>
    <w:p w:rsidR="0076001B" w:rsidRPr="001163D5" w:rsidRDefault="0076001B" w:rsidP="00323E47">
      <w:pPr>
        <w:numPr>
          <w:ilvl w:val="0"/>
          <w:numId w:val="4"/>
        </w:numPr>
        <w:tabs>
          <w:tab w:val="clear" w:pos="360"/>
          <w:tab w:val="num" w:pos="-1080"/>
        </w:tabs>
        <w:ind w:left="-1080"/>
        <w:rPr>
          <w:sz w:val="24"/>
          <w:szCs w:val="24"/>
        </w:rPr>
      </w:pPr>
      <w:r w:rsidRPr="001163D5">
        <w:rPr>
          <w:b/>
          <w:sz w:val="24"/>
          <w:szCs w:val="24"/>
          <w:u w:val="single"/>
        </w:rPr>
        <w:t>Performance Standards</w:t>
      </w:r>
    </w:p>
    <w:p w:rsidR="0076001B" w:rsidRPr="001163D5" w:rsidRDefault="0076001B" w:rsidP="00323E47">
      <w:pPr>
        <w:ind w:left="-1440"/>
        <w:rPr>
          <w:sz w:val="24"/>
          <w:szCs w:val="24"/>
        </w:rPr>
      </w:pPr>
    </w:p>
    <w:p w:rsidR="0076001B" w:rsidRPr="001163D5" w:rsidRDefault="0076001B" w:rsidP="00323E47">
      <w:pPr>
        <w:ind w:left="-1080"/>
        <w:rPr>
          <w:sz w:val="24"/>
          <w:szCs w:val="24"/>
        </w:rPr>
      </w:pPr>
      <w:r w:rsidRPr="001163D5">
        <w:rPr>
          <w:sz w:val="24"/>
          <w:szCs w:val="24"/>
        </w:rPr>
        <w:t>The total investment program, its component sectors and the investment manager</w:t>
      </w:r>
      <w:r w:rsidR="00217569" w:rsidRPr="001163D5">
        <w:rPr>
          <w:sz w:val="24"/>
          <w:szCs w:val="24"/>
        </w:rPr>
        <w:t>s</w:t>
      </w:r>
      <w:r w:rsidRPr="001163D5">
        <w:rPr>
          <w:sz w:val="24"/>
          <w:szCs w:val="24"/>
        </w:rPr>
        <w:t xml:space="preserve"> are judged against appropriate </w:t>
      </w:r>
      <w:r w:rsidR="00BC0681" w:rsidRPr="001163D5">
        <w:rPr>
          <w:sz w:val="24"/>
          <w:szCs w:val="24"/>
        </w:rPr>
        <w:t xml:space="preserve">industry and peer </w:t>
      </w:r>
      <w:r w:rsidRPr="001163D5">
        <w:rPr>
          <w:sz w:val="24"/>
          <w:szCs w:val="24"/>
        </w:rPr>
        <w:t>benchmarks:</w:t>
      </w:r>
    </w:p>
    <w:p w:rsidR="00512B6A" w:rsidRPr="001163D5" w:rsidRDefault="00512B6A" w:rsidP="00512B6A">
      <w:pPr>
        <w:ind w:left="-1080"/>
        <w:rPr>
          <w:sz w:val="24"/>
          <w:szCs w:val="24"/>
        </w:rPr>
      </w:pPr>
    </w:p>
    <w:p w:rsidR="00217569" w:rsidRPr="001163D5" w:rsidRDefault="00217569" w:rsidP="00217569">
      <w:pPr>
        <w:numPr>
          <w:ilvl w:val="0"/>
          <w:numId w:val="39"/>
        </w:numPr>
        <w:spacing w:after="120"/>
        <w:ind w:left="-720"/>
        <w:jc w:val="both"/>
        <w:rPr>
          <w:sz w:val="24"/>
          <w:szCs w:val="24"/>
        </w:rPr>
      </w:pPr>
      <w:r w:rsidRPr="001163D5">
        <w:rPr>
          <w:sz w:val="24"/>
          <w:szCs w:val="24"/>
        </w:rPr>
        <w:lastRenderedPageBreak/>
        <w:t xml:space="preserve">The total return for the overall Fund shall meet or exceed the Fund’s Policy Index (as described in Appendix I). </w:t>
      </w:r>
    </w:p>
    <w:p w:rsidR="0076001B" w:rsidRPr="001163D5" w:rsidRDefault="0076001B" w:rsidP="00512B6A">
      <w:pPr>
        <w:rPr>
          <w:sz w:val="24"/>
          <w:szCs w:val="24"/>
        </w:rPr>
      </w:pPr>
    </w:p>
    <w:p w:rsidR="00BC0681" w:rsidRPr="001163D5" w:rsidRDefault="00F80667" w:rsidP="00E0569E">
      <w:pPr>
        <w:numPr>
          <w:ilvl w:val="0"/>
          <w:numId w:val="39"/>
        </w:numPr>
        <w:ind w:left="-720"/>
        <w:rPr>
          <w:sz w:val="24"/>
          <w:szCs w:val="24"/>
        </w:rPr>
      </w:pPr>
      <w:r w:rsidRPr="001163D5">
        <w:rPr>
          <w:sz w:val="24"/>
          <w:szCs w:val="24"/>
        </w:rPr>
        <w:t xml:space="preserve">The Foundation’s investment program </w:t>
      </w:r>
      <w:r w:rsidR="00BC0681" w:rsidRPr="001163D5">
        <w:rPr>
          <w:sz w:val="24"/>
          <w:szCs w:val="24"/>
        </w:rPr>
        <w:t xml:space="preserve">is also compared to peer groups of Community Foundations and other </w:t>
      </w:r>
      <w:r w:rsidR="00AB23A4" w:rsidRPr="001163D5">
        <w:rPr>
          <w:sz w:val="24"/>
          <w:szCs w:val="24"/>
        </w:rPr>
        <w:t>nonprofit endowment funds</w:t>
      </w:r>
      <w:r w:rsidR="008A3316" w:rsidRPr="001163D5">
        <w:rPr>
          <w:sz w:val="24"/>
          <w:szCs w:val="24"/>
        </w:rPr>
        <w:t xml:space="preserve"> with the goal to rank in the top half of the universe on a risk adjusted basis</w:t>
      </w:r>
      <w:r w:rsidR="00AB23A4" w:rsidRPr="001163D5">
        <w:rPr>
          <w:sz w:val="24"/>
          <w:szCs w:val="24"/>
        </w:rPr>
        <w:t>.</w:t>
      </w:r>
    </w:p>
    <w:p w:rsidR="0076001B" w:rsidRPr="001163D5" w:rsidRDefault="0076001B" w:rsidP="00E0569E">
      <w:pPr>
        <w:ind w:left="-720"/>
        <w:rPr>
          <w:sz w:val="24"/>
          <w:szCs w:val="24"/>
        </w:rPr>
      </w:pPr>
    </w:p>
    <w:p w:rsidR="0076001B" w:rsidRPr="001163D5" w:rsidRDefault="0076001B" w:rsidP="00E0569E">
      <w:pPr>
        <w:numPr>
          <w:ilvl w:val="0"/>
          <w:numId w:val="39"/>
        </w:numPr>
        <w:ind w:left="-720"/>
        <w:rPr>
          <w:sz w:val="24"/>
          <w:szCs w:val="24"/>
        </w:rPr>
      </w:pPr>
      <w:r w:rsidRPr="001163D5">
        <w:rPr>
          <w:sz w:val="24"/>
          <w:szCs w:val="24"/>
        </w:rPr>
        <w:t>Over the long term, the program is measured against the real return objective (</w:t>
      </w:r>
      <w:r w:rsidR="00E73BD1" w:rsidRPr="001163D5">
        <w:rPr>
          <w:sz w:val="24"/>
          <w:szCs w:val="24"/>
        </w:rPr>
        <w:t>4.</w:t>
      </w:r>
      <w:r w:rsidRPr="001163D5">
        <w:rPr>
          <w:sz w:val="24"/>
          <w:szCs w:val="24"/>
        </w:rPr>
        <w:t>5</w:t>
      </w:r>
      <w:r w:rsidR="00217569" w:rsidRPr="001163D5">
        <w:rPr>
          <w:sz w:val="24"/>
          <w:szCs w:val="24"/>
        </w:rPr>
        <w:t>%</w:t>
      </w:r>
      <w:r w:rsidRPr="001163D5">
        <w:rPr>
          <w:sz w:val="24"/>
          <w:szCs w:val="24"/>
        </w:rPr>
        <w:t xml:space="preserve"> + inflation)</w:t>
      </w:r>
      <w:r w:rsidR="00F15309" w:rsidRPr="001163D5">
        <w:rPr>
          <w:sz w:val="24"/>
          <w:szCs w:val="24"/>
        </w:rPr>
        <w:t>,</w:t>
      </w:r>
      <w:r w:rsidRPr="001163D5">
        <w:rPr>
          <w:sz w:val="24"/>
          <w:szCs w:val="24"/>
        </w:rPr>
        <w:t xml:space="preserve"> </w:t>
      </w:r>
      <w:r w:rsidR="00AB23A4" w:rsidRPr="001163D5">
        <w:rPr>
          <w:sz w:val="24"/>
          <w:szCs w:val="24"/>
        </w:rPr>
        <w:t xml:space="preserve">with the </w:t>
      </w:r>
      <w:r w:rsidRPr="001163D5">
        <w:rPr>
          <w:sz w:val="24"/>
          <w:szCs w:val="24"/>
        </w:rPr>
        <w:t>recogni</w:t>
      </w:r>
      <w:r w:rsidR="00AB23A4" w:rsidRPr="001163D5">
        <w:rPr>
          <w:sz w:val="24"/>
          <w:szCs w:val="24"/>
        </w:rPr>
        <w:t>tion</w:t>
      </w:r>
      <w:r w:rsidRPr="001163D5">
        <w:rPr>
          <w:sz w:val="24"/>
          <w:szCs w:val="24"/>
        </w:rPr>
        <w:t xml:space="preserve"> that in the near term</w:t>
      </w:r>
      <w:r w:rsidR="00AB23A4" w:rsidRPr="001163D5">
        <w:rPr>
          <w:sz w:val="24"/>
          <w:szCs w:val="24"/>
        </w:rPr>
        <w:t>,</w:t>
      </w:r>
      <w:r w:rsidR="00217569" w:rsidRPr="001163D5">
        <w:rPr>
          <w:sz w:val="24"/>
          <w:szCs w:val="24"/>
        </w:rPr>
        <w:t xml:space="preserve"> this</w:t>
      </w:r>
      <w:r w:rsidRPr="001163D5">
        <w:rPr>
          <w:sz w:val="24"/>
          <w:szCs w:val="24"/>
        </w:rPr>
        <w:t xml:space="preserve"> benchmarks may not be achieved.</w:t>
      </w:r>
    </w:p>
    <w:p w:rsidR="0076001B" w:rsidRPr="001163D5" w:rsidRDefault="0076001B" w:rsidP="00E0569E">
      <w:pPr>
        <w:ind w:left="-720"/>
        <w:rPr>
          <w:sz w:val="24"/>
          <w:szCs w:val="24"/>
        </w:rPr>
      </w:pPr>
    </w:p>
    <w:p w:rsidR="0076001B" w:rsidRPr="001163D5" w:rsidRDefault="00AB23A4" w:rsidP="00E0569E">
      <w:pPr>
        <w:numPr>
          <w:ilvl w:val="0"/>
          <w:numId w:val="39"/>
        </w:numPr>
        <w:ind w:left="-720"/>
        <w:rPr>
          <w:sz w:val="24"/>
          <w:szCs w:val="24"/>
        </w:rPr>
      </w:pPr>
      <w:r w:rsidRPr="001163D5">
        <w:rPr>
          <w:sz w:val="24"/>
          <w:szCs w:val="24"/>
        </w:rPr>
        <w:t>The p</w:t>
      </w:r>
      <w:r w:rsidR="0076001B" w:rsidRPr="001163D5">
        <w:rPr>
          <w:sz w:val="24"/>
          <w:szCs w:val="24"/>
        </w:rPr>
        <w:t xml:space="preserve">erformance of </w:t>
      </w:r>
      <w:r w:rsidRPr="001163D5">
        <w:rPr>
          <w:sz w:val="24"/>
          <w:szCs w:val="24"/>
        </w:rPr>
        <w:t>individual strategies and managers is evaluated regularly using quantitative and qualitative information, with the assistance of the Foundation’s Consultant</w:t>
      </w:r>
      <w:r w:rsidR="0076001B" w:rsidRPr="001163D5">
        <w:rPr>
          <w:sz w:val="24"/>
          <w:szCs w:val="24"/>
        </w:rPr>
        <w:t xml:space="preserve">.  </w:t>
      </w:r>
      <w:r w:rsidR="00C43079" w:rsidRPr="001163D5">
        <w:rPr>
          <w:sz w:val="24"/>
          <w:szCs w:val="24"/>
        </w:rPr>
        <w:t xml:space="preserve">Investment managers should meet or exceed the return of their designated </w:t>
      </w:r>
      <w:r w:rsidR="00512B6A" w:rsidRPr="001163D5">
        <w:rPr>
          <w:sz w:val="24"/>
          <w:szCs w:val="24"/>
        </w:rPr>
        <w:t>benchmark</w:t>
      </w:r>
      <w:r w:rsidR="00C43079" w:rsidRPr="001163D5">
        <w:rPr>
          <w:sz w:val="24"/>
          <w:szCs w:val="24"/>
        </w:rPr>
        <w:t>.</w:t>
      </w:r>
    </w:p>
    <w:p w:rsidR="00C43079" w:rsidRPr="001163D5" w:rsidRDefault="00C43079" w:rsidP="00C43079">
      <w:pPr>
        <w:pStyle w:val="ListParagraph"/>
        <w:rPr>
          <w:sz w:val="24"/>
          <w:szCs w:val="24"/>
        </w:rPr>
      </w:pPr>
    </w:p>
    <w:p w:rsidR="00620F91" w:rsidRPr="001163D5" w:rsidRDefault="00C43079" w:rsidP="00620F91">
      <w:pPr>
        <w:numPr>
          <w:ilvl w:val="0"/>
          <w:numId w:val="39"/>
        </w:numPr>
        <w:ind w:left="-720"/>
        <w:rPr>
          <w:sz w:val="24"/>
          <w:szCs w:val="24"/>
        </w:rPr>
      </w:pPr>
      <w:r w:rsidRPr="001163D5">
        <w:rPr>
          <w:sz w:val="24"/>
          <w:szCs w:val="24"/>
        </w:rPr>
        <w:t>Total risk exposure and risk-adjusted returns</w:t>
      </w:r>
      <w:r w:rsidR="008A3316" w:rsidRPr="001163D5">
        <w:rPr>
          <w:sz w:val="24"/>
          <w:szCs w:val="24"/>
        </w:rPr>
        <w:t xml:space="preserve"> for the Fund and</w:t>
      </w:r>
      <w:r w:rsidR="00512B6A" w:rsidRPr="001163D5">
        <w:rPr>
          <w:sz w:val="24"/>
          <w:szCs w:val="24"/>
        </w:rPr>
        <w:t xml:space="preserve"> investment managers</w:t>
      </w:r>
      <w:r w:rsidRPr="001163D5">
        <w:rPr>
          <w:sz w:val="24"/>
          <w:szCs w:val="24"/>
        </w:rPr>
        <w:t xml:space="preserve"> </w:t>
      </w:r>
      <w:r w:rsidR="00512B6A" w:rsidRPr="001163D5">
        <w:rPr>
          <w:sz w:val="24"/>
          <w:szCs w:val="24"/>
        </w:rPr>
        <w:t>shall</w:t>
      </w:r>
      <w:r w:rsidRPr="001163D5">
        <w:rPr>
          <w:sz w:val="24"/>
          <w:szCs w:val="24"/>
        </w:rPr>
        <w:t xml:space="preserve"> be regularly evaluated and compared </w:t>
      </w:r>
      <w:r w:rsidR="00512B6A" w:rsidRPr="001163D5">
        <w:rPr>
          <w:sz w:val="24"/>
          <w:szCs w:val="24"/>
        </w:rPr>
        <w:t>with the designated benchmark.</w:t>
      </w:r>
    </w:p>
    <w:p w:rsidR="00512B6A" w:rsidRPr="001163D5" w:rsidRDefault="00512B6A" w:rsidP="00512B6A">
      <w:pPr>
        <w:pStyle w:val="ListParagraph"/>
        <w:rPr>
          <w:sz w:val="24"/>
          <w:szCs w:val="24"/>
        </w:rPr>
      </w:pPr>
    </w:p>
    <w:p w:rsidR="00620F91" w:rsidRPr="001163D5" w:rsidRDefault="00620F91" w:rsidP="00620F91">
      <w:pPr>
        <w:numPr>
          <w:ilvl w:val="0"/>
          <w:numId w:val="39"/>
        </w:numPr>
        <w:spacing w:after="120"/>
        <w:ind w:left="-720"/>
        <w:jc w:val="both"/>
        <w:rPr>
          <w:sz w:val="24"/>
          <w:szCs w:val="24"/>
        </w:rPr>
      </w:pPr>
      <w:r w:rsidRPr="001163D5">
        <w:rPr>
          <w:sz w:val="24"/>
          <w:szCs w:val="24"/>
        </w:rPr>
        <w:t xml:space="preserve">The Committee is aware that there may be deviations from these performance targets.  Normally, results will be evaluated over a three to five year time horizon, but shorter-term results will be regularly reviewed and earlier action taken if in the best interest of the Fund. </w:t>
      </w:r>
    </w:p>
    <w:p w:rsidR="0076001B" w:rsidRPr="001163D5" w:rsidRDefault="0076001B" w:rsidP="00323E47">
      <w:pPr>
        <w:ind w:left="-1440"/>
        <w:rPr>
          <w:sz w:val="24"/>
          <w:szCs w:val="24"/>
        </w:rPr>
      </w:pPr>
    </w:p>
    <w:p w:rsidR="0076001B" w:rsidRPr="001163D5" w:rsidRDefault="0076001B" w:rsidP="00323E47">
      <w:pPr>
        <w:numPr>
          <w:ilvl w:val="0"/>
          <w:numId w:val="4"/>
        </w:numPr>
        <w:tabs>
          <w:tab w:val="clear" w:pos="360"/>
          <w:tab w:val="num" w:pos="-1080"/>
        </w:tabs>
        <w:ind w:left="-1080"/>
        <w:rPr>
          <w:sz w:val="24"/>
          <w:szCs w:val="24"/>
        </w:rPr>
      </w:pPr>
      <w:r w:rsidRPr="001163D5">
        <w:rPr>
          <w:b/>
          <w:sz w:val="24"/>
          <w:szCs w:val="24"/>
          <w:u w:val="single"/>
        </w:rPr>
        <w:t>Investment Guidelines</w:t>
      </w:r>
      <w:r w:rsidR="00616D6B" w:rsidRPr="001163D5">
        <w:rPr>
          <w:b/>
          <w:sz w:val="24"/>
          <w:szCs w:val="24"/>
          <w:u w:val="single"/>
        </w:rPr>
        <w:t xml:space="preserve"> for Separately Managed Accounts</w:t>
      </w:r>
    </w:p>
    <w:p w:rsidR="0076001B" w:rsidRPr="001163D5" w:rsidRDefault="0076001B" w:rsidP="00323E47">
      <w:pPr>
        <w:ind w:left="-1440"/>
        <w:rPr>
          <w:sz w:val="24"/>
          <w:szCs w:val="24"/>
        </w:rPr>
      </w:pPr>
    </w:p>
    <w:p w:rsidR="0076001B" w:rsidRPr="001163D5" w:rsidRDefault="0076001B" w:rsidP="00323E47">
      <w:pPr>
        <w:numPr>
          <w:ilvl w:val="0"/>
          <w:numId w:val="29"/>
        </w:numPr>
        <w:tabs>
          <w:tab w:val="clear" w:pos="360"/>
          <w:tab w:val="num" w:pos="-720"/>
        </w:tabs>
        <w:ind w:left="-720"/>
        <w:rPr>
          <w:sz w:val="24"/>
          <w:szCs w:val="24"/>
        </w:rPr>
      </w:pPr>
      <w:r w:rsidRPr="001163D5">
        <w:rPr>
          <w:sz w:val="24"/>
          <w:szCs w:val="24"/>
        </w:rPr>
        <w:t>Equity Investments</w:t>
      </w:r>
    </w:p>
    <w:p w:rsidR="0076001B" w:rsidRPr="001163D5" w:rsidRDefault="0076001B" w:rsidP="00323E47">
      <w:pPr>
        <w:numPr>
          <w:ilvl w:val="0"/>
          <w:numId w:val="11"/>
        </w:numPr>
        <w:tabs>
          <w:tab w:val="num" w:pos="-360"/>
        </w:tabs>
        <w:ind w:left="-360"/>
        <w:rPr>
          <w:sz w:val="24"/>
          <w:szCs w:val="24"/>
        </w:rPr>
      </w:pPr>
      <w:r w:rsidRPr="001163D5">
        <w:rPr>
          <w:sz w:val="24"/>
          <w:szCs w:val="24"/>
          <w:u w:val="single"/>
        </w:rPr>
        <w:t xml:space="preserve">Use of cash equivalents: </w:t>
      </w:r>
      <w:r w:rsidRPr="001163D5">
        <w:rPr>
          <w:sz w:val="24"/>
          <w:szCs w:val="24"/>
        </w:rPr>
        <w:t xml:space="preserve"> </w:t>
      </w:r>
      <w:r w:rsidR="00AB23A4" w:rsidRPr="001163D5">
        <w:rPr>
          <w:sz w:val="24"/>
          <w:szCs w:val="24"/>
        </w:rPr>
        <w:t>While t</w:t>
      </w:r>
      <w:r w:rsidRPr="001163D5">
        <w:rPr>
          <w:sz w:val="24"/>
          <w:szCs w:val="24"/>
        </w:rPr>
        <w:t xml:space="preserve">he portfolio </w:t>
      </w:r>
      <w:r w:rsidR="00F80667" w:rsidRPr="001163D5">
        <w:rPr>
          <w:sz w:val="24"/>
          <w:szCs w:val="24"/>
        </w:rPr>
        <w:t>is</w:t>
      </w:r>
      <w:r w:rsidRPr="001163D5">
        <w:rPr>
          <w:sz w:val="24"/>
          <w:szCs w:val="24"/>
        </w:rPr>
        <w:t xml:space="preserve"> fully invested</w:t>
      </w:r>
      <w:r w:rsidR="00AB23A4" w:rsidRPr="001163D5">
        <w:rPr>
          <w:sz w:val="24"/>
          <w:szCs w:val="24"/>
        </w:rPr>
        <w:t>,</w:t>
      </w:r>
      <w:r w:rsidRPr="001163D5">
        <w:rPr>
          <w:sz w:val="24"/>
          <w:szCs w:val="24"/>
        </w:rPr>
        <w:t xml:space="preserve"> manager</w:t>
      </w:r>
      <w:r w:rsidR="00F15309" w:rsidRPr="001163D5">
        <w:rPr>
          <w:sz w:val="24"/>
          <w:szCs w:val="24"/>
        </w:rPr>
        <w:t>s</w:t>
      </w:r>
      <w:r w:rsidRPr="001163D5">
        <w:rPr>
          <w:sz w:val="24"/>
          <w:szCs w:val="24"/>
        </w:rPr>
        <w:t xml:space="preserve"> </w:t>
      </w:r>
      <w:r w:rsidR="00F15309" w:rsidRPr="001163D5">
        <w:rPr>
          <w:sz w:val="24"/>
          <w:szCs w:val="24"/>
        </w:rPr>
        <w:t xml:space="preserve">are </w:t>
      </w:r>
      <w:r w:rsidRPr="001163D5">
        <w:rPr>
          <w:sz w:val="24"/>
          <w:szCs w:val="24"/>
        </w:rPr>
        <w:t>authorized to hold cash equivalents for the operations of the Foundation and market conditions.</w:t>
      </w:r>
    </w:p>
    <w:p w:rsidR="0076001B" w:rsidRPr="001163D5" w:rsidRDefault="0076001B" w:rsidP="00323E47">
      <w:pPr>
        <w:ind w:left="-720"/>
        <w:rPr>
          <w:sz w:val="24"/>
          <w:szCs w:val="24"/>
          <w:u w:val="single"/>
        </w:rPr>
      </w:pPr>
    </w:p>
    <w:p w:rsidR="0076001B" w:rsidRPr="001163D5" w:rsidRDefault="0076001B" w:rsidP="00323E47">
      <w:pPr>
        <w:numPr>
          <w:ilvl w:val="0"/>
          <w:numId w:val="11"/>
        </w:numPr>
        <w:tabs>
          <w:tab w:val="num" w:pos="-360"/>
        </w:tabs>
        <w:ind w:left="-360"/>
        <w:rPr>
          <w:sz w:val="24"/>
          <w:szCs w:val="24"/>
        </w:rPr>
      </w:pPr>
      <w:r w:rsidRPr="001163D5">
        <w:rPr>
          <w:sz w:val="24"/>
          <w:szCs w:val="24"/>
          <w:u w:val="single"/>
        </w:rPr>
        <w:t>Security trading:</w:t>
      </w:r>
      <w:r w:rsidRPr="001163D5">
        <w:rPr>
          <w:sz w:val="24"/>
          <w:szCs w:val="24"/>
        </w:rPr>
        <w:t xml:space="preserve">  </w:t>
      </w:r>
      <w:r w:rsidR="00EF09EA" w:rsidRPr="001163D5">
        <w:rPr>
          <w:sz w:val="24"/>
          <w:szCs w:val="24"/>
        </w:rPr>
        <w:t xml:space="preserve">The Foundation expects managers to </w:t>
      </w:r>
      <w:r w:rsidRPr="001163D5">
        <w:rPr>
          <w:sz w:val="24"/>
          <w:szCs w:val="24"/>
        </w:rPr>
        <w:t xml:space="preserve">emphasize best execution </w:t>
      </w:r>
      <w:r w:rsidR="00F80667" w:rsidRPr="001163D5">
        <w:rPr>
          <w:sz w:val="24"/>
          <w:szCs w:val="24"/>
        </w:rPr>
        <w:t>that</w:t>
      </w:r>
      <w:r w:rsidR="00EF09EA" w:rsidRPr="001163D5">
        <w:rPr>
          <w:sz w:val="24"/>
          <w:szCs w:val="24"/>
        </w:rPr>
        <w:t xml:space="preserve"> yield</w:t>
      </w:r>
      <w:r w:rsidR="00F80667" w:rsidRPr="001163D5">
        <w:rPr>
          <w:sz w:val="24"/>
          <w:szCs w:val="24"/>
        </w:rPr>
        <w:t>s</w:t>
      </w:r>
      <w:r w:rsidR="00EF09EA" w:rsidRPr="001163D5">
        <w:rPr>
          <w:sz w:val="24"/>
          <w:szCs w:val="24"/>
        </w:rPr>
        <w:t xml:space="preserve"> </w:t>
      </w:r>
      <w:r w:rsidRPr="001163D5">
        <w:rPr>
          <w:sz w:val="24"/>
          <w:szCs w:val="24"/>
        </w:rPr>
        <w:t xml:space="preserve">the highest proceeds </w:t>
      </w:r>
      <w:r w:rsidR="00EF09EA" w:rsidRPr="001163D5">
        <w:rPr>
          <w:sz w:val="24"/>
          <w:szCs w:val="24"/>
        </w:rPr>
        <w:t xml:space="preserve">with the </w:t>
      </w:r>
      <w:r w:rsidRPr="001163D5">
        <w:rPr>
          <w:sz w:val="24"/>
          <w:szCs w:val="24"/>
        </w:rPr>
        <w:t xml:space="preserve">lowest </w:t>
      </w:r>
      <w:r w:rsidR="00EF09EA" w:rsidRPr="001163D5">
        <w:rPr>
          <w:sz w:val="24"/>
          <w:szCs w:val="24"/>
        </w:rPr>
        <w:t xml:space="preserve">transaction </w:t>
      </w:r>
      <w:r w:rsidRPr="001163D5">
        <w:rPr>
          <w:sz w:val="24"/>
          <w:szCs w:val="24"/>
        </w:rPr>
        <w:t>costs.</w:t>
      </w:r>
    </w:p>
    <w:p w:rsidR="004F6170" w:rsidRPr="001163D5" w:rsidRDefault="004F6170" w:rsidP="004F6170">
      <w:pPr>
        <w:pStyle w:val="ListParagraph"/>
        <w:rPr>
          <w:strike/>
          <w:sz w:val="24"/>
          <w:szCs w:val="24"/>
        </w:rPr>
      </w:pPr>
    </w:p>
    <w:p w:rsidR="004F6170" w:rsidRPr="001163D5" w:rsidRDefault="004F6170" w:rsidP="00323E47">
      <w:pPr>
        <w:numPr>
          <w:ilvl w:val="0"/>
          <w:numId w:val="11"/>
        </w:numPr>
        <w:tabs>
          <w:tab w:val="num" w:pos="-360"/>
        </w:tabs>
        <w:ind w:left="-360"/>
        <w:rPr>
          <w:strike/>
          <w:sz w:val="24"/>
          <w:szCs w:val="24"/>
        </w:rPr>
      </w:pPr>
      <w:r w:rsidRPr="001163D5">
        <w:rPr>
          <w:sz w:val="24"/>
          <w:szCs w:val="24"/>
        </w:rPr>
        <w:t xml:space="preserve">Exceptions to these guidelines shall be reported </w:t>
      </w:r>
      <w:r w:rsidR="008A3316" w:rsidRPr="001163D5">
        <w:rPr>
          <w:sz w:val="24"/>
          <w:szCs w:val="24"/>
        </w:rPr>
        <w:t>in writing by the manager to Staff.</w:t>
      </w:r>
      <w:r w:rsidRPr="001163D5">
        <w:rPr>
          <w:sz w:val="24"/>
          <w:szCs w:val="24"/>
        </w:rPr>
        <w:t xml:space="preserve"> </w:t>
      </w:r>
    </w:p>
    <w:p w:rsidR="0076001B" w:rsidRPr="001163D5" w:rsidRDefault="0076001B" w:rsidP="00323E47">
      <w:pPr>
        <w:ind w:left="-1080"/>
        <w:rPr>
          <w:sz w:val="24"/>
          <w:szCs w:val="24"/>
        </w:rPr>
      </w:pPr>
    </w:p>
    <w:p w:rsidR="0076001B" w:rsidRPr="001163D5" w:rsidRDefault="0076001B" w:rsidP="00323E47">
      <w:pPr>
        <w:numPr>
          <w:ilvl w:val="0"/>
          <w:numId w:val="30"/>
        </w:numPr>
        <w:tabs>
          <w:tab w:val="num" w:pos="-720"/>
        </w:tabs>
        <w:ind w:left="-720"/>
        <w:rPr>
          <w:sz w:val="24"/>
          <w:szCs w:val="24"/>
        </w:rPr>
      </w:pPr>
      <w:r w:rsidRPr="001163D5">
        <w:rPr>
          <w:sz w:val="24"/>
          <w:szCs w:val="24"/>
          <w:u w:val="single"/>
        </w:rPr>
        <w:t>Fixed Income Investments</w:t>
      </w:r>
      <w:r w:rsidRPr="001163D5">
        <w:rPr>
          <w:sz w:val="24"/>
          <w:szCs w:val="24"/>
        </w:rPr>
        <w:t>:</w:t>
      </w:r>
    </w:p>
    <w:p w:rsidR="0076001B" w:rsidRPr="001163D5" w:rsidRDefault="0076001B" w:rsidP="00323E47">
      <w:pPr>
        <w:numPr>
          <w:ilvl w:val="0"/>
          <w:numId w:val="12"/>
        </w:numPr>
        <w:tabs>
          <w:tab w:val="clear" w:pos="360"/>
          <w:tab w:val="num" w:pos="-360"/>
        </w:tabs>
        <w:ind w:left="-360"/>
        <w:rPr>
          <w:sz w:val="24"/>
          <w:szCs w:val="24"/>
        </w:rPr>
      </w:pPr>
      <w:r w:rsidRPr="001163D5">
        <w:rPr>
          <w:sz w:val="24"/>
          <w:szCs w:val="24"/>
        </w:rPr>
        <w:t xml:space="preserve">No more than 10% of the </w:t>
      </w:r>
      <w:r w:rsidR="001262B3" w:rsidRPr="001163D5">
        <w:rPr>
          <w:sz w:val="24"/>
          <w:szCs w:val="24"/>
        </w:rPr>
        <w:t xml:space="preserve">entire </w:t>
      </w:r>
      <w:r w:rsidRPr="001163D5">
        <w:rPr>
          <w:sz w:val="24"/>
          <w:szCs w:val="24"/>
        </w:rPr>
        <w:t>portfolio at market may be invested in securities of any single issuer other than the U.S. Government and its agencies.</w:t>
      </w:r>
    </w:p>
    <w:p w:rsidR="0076001B" w:rsidRPr="001163D5" w:rsidRDefault="0076001B" w:rsidP="00323E47">
      <w:pPr>
        <w:ind w:left="-720"/>
        <w:rPr>
          <w:sz w:val="24"/>
          <w:szCs w:val="24"/>
        </w:rPr>
      </w:pPr>
    </w:p>
    <w:p w:rsidR="0076001B" w:rsidRPr="001163D5" w:rsidRDefault="0076001B" w:rsidP="00323E47">
      <w:pPr>
        <w:numPr>
          <w:ilvl w:val="0"/>
          <w:numId w:val="12"/>
        </w:numPr>
        <w:tabs>
          <w:tab w:val="clear" w:pos="360"/>
          <w:tab w:val="num" w:pos="-360"/>
        </w:tabs>
        <w:ind w:left="-360"/>
        <w:rPr>
          <w:sz w:val="24"/>
          <w:szCs w:val="24"/>
        </w:rPr>
      </w:pPr>
      <w:r w:rsidRPr="001163D5">
        <w:rPr>
          <w:sz w:val="24"/>
          <w:szCs w:val="24"/>
        </w:rPr>
        <w:t xml:space="preserve">Issues purchased </w:t>
      </w:r>
      <w:r w:rsidR="001262B3" w:rsidRPr="001163D5">
        <w:rPr>
          <w:sz w:val="24"/>
          <w:szCs w:val="24"/>
        </w:rPr>
        <w:t xml:space="preserve">directly in the portfolio </w:t>
      </w:r>
      <w:r w:rsidRPr="001163D5">
        <w:rPr>
          <w:sz w:val="24"/>
          <w:szCs w:val="24"/>
        </w:rPr>
        <w:t xml:space="preserve">shall </w:t>
      </w:r>
      <w:r w:rsidR="00C00703" w:rsidRPr="001163D5">
        <w:rPr>
          <w:sz w:val="24"/>
          <w:szCs w:val="24"/>
        </w:rPr>
        <w:t xml:space="preserve">generally </w:t>
      </w:r>
      <w:r w:rsidRPr="001163D5">
        <w:rPr>
          <w:sz w:val="24"/>
          <w:szCs w:val="24"/>
        </w:rPr>
        <w:t xml:space="preserve">be “investment grade” U.S. pay debt issues including securities rated Baa/BBB or better as rated by Moody’s and Standard &amp; Poor’s or its equivalent.  </w:t>
      </w:r>
    </w:p>
    <w:p w:rsidR="0076001B" w:rsidRPr="001163D5" w:rsidRDefault="0076001B" w:rsidP="00323E47">
      <w:pPr>
        <w:rPr>
          <w:sz w:val="24"/>
          <w:szCs w:val="24"/>
        </w:rPr>
      </w:pPr>
    </w:p>
    <w:p w:rsidR="0039537F" w:rsidRPr="001163D5" w:rsidRDefault="0076001B" w:rsidP="0039537F">
      <w:pPr>
        <w:numPr>
          <w:ilvl w:val="0"/>
          <w:numId w:val="12"/>
        </w:numPr>
        <w:tabs>
          <w:tab w:val="clear" w:pos="360"/>
          <w:tab w:val="num" w:pos="-360"/>
        </w:tabs>
        <w:ind w:left="-360"/>
        <w:rPr>
          <w:sz w:val="24"/>
          <w:szCs w:val="24"/>
        </w:rPr>
      </w:pPr>
      <w:r w:rsidRPr="001163D5">
        <w:rPr>
          <w:sz w:val="24"/>
          <w:szCs w:val="24"/>
        </w:rPr>
        <w:t>All fixed income securities must be liquid and readily marketable.  Private placements or other “restricted” securities shall not be purchased.</w:t>
      </w:r>
      <w:r w:rsidR="0039537F" w:rsidRPr="001163D5">
        <w:rPr>
          <w:sz w:val="24"/>
          <w:szCs w:val="24"/>
        </w:rPr>
        <w:t xml:space="preserve">  </w:t>
      </w:r>
      <w:r w:rsidR="0039537F" w:rsidRPr="001163D5">
        <w:rPr>
          <w:color w:val="000000"/>
          <w:sz w:val="24"/>
          <w:szCs w:val="24"/>
        </w:rPr>
        <w:t xml:space="preserve">However, </w:t>
      </w:r>
      <w:r w:rsidR="0039537F" w:rsidRPr="001163D5">
        <w:rPr>
          <w:sz w:val="24"/>
          <w:szCs w:val="24"/>
        </w:rPr>
        <w:t>securities issued under Rule 144a of the Securities Act of 1933 are permissible.</w:t>
      </w:r>
    </w:p>
    <w:p w:rsidR="0076001B" w:rsidRPr="001163D5" w:rsidRDefault="0076001B" w:rsidP="00323E47">
      <w:pPr>
        <w:rPr>
          <w:sz w:val="24"/>
          <w:szCs w:val="24"/>
        </w:rPr>
      </w:pPr>
    </w:p>
    <w:p w:rsidR="0076001B" w:rsidRPr="001163D5" w:rsidRDefault="00EF09EA" w:rsidP="00323E47">
      <w:pPr>
        <w:numPr>
          <w:ilvl w:val="0"/>
          <w:numId w:val="12"/>
        </w:numPr>
        <w:tabs>
          <w:tab w:val="clear" w:pos="360"/>
          <w:tab w:val="num" w:pos="-360"/>
        </w:tabs>
        <w:ind w:left="-360"/>
        <w:rPr>
          <w:sz w:val="24"/>
          <w:szCs w:val="24"/>
        </w:rPr>
      </w:pPr>
      <w:r w:rsidRPr="001163D5">
        <w:rPr>
          <w:sz w:val="24"/>
          <w:szCs w:val="24"/>
        </w:rPr>
        <w:t xml:space="preserve">Brokerage firms are expected to complete trades </w:t>
      </w:r>
      <w:r w:rsidR="0076001B" w:rsidRPr="001163D5">
        <w:rPr>
          <w:sz w:val="24"/>
          <w:szCs w:val="24"/>
        </w:rPr>
        <w:t xml:space="preserve">on a </w:t>
      </w:r>
      <w:r w:rsidR="00E71A3E" w:rsidRPr="001163D5">
        <w:rPr>
          <w:sz w:val="24"/>
          <w:szCs w:val="24"/>
        </w:rPr>
        <w:t>best execution basis.</w:t>
      </w:r>
    </w:p>
    <w:p w:rsidR="0076001B" w:rsidRPr="001163D5" w:rsidRDefault="0076001B" w:rsidP="00323E47">
      <w:pPr>
        <w:rPr>
          <w:sz w:val="24"/>
          <w:szCs w:val="24"/>
        </w:rPr>
      </w:pPr>
    </w:p>
    <w:p w:rsidR="0076001B" w:rsidRPr="001163D5" w:rsidRDefault="0076001B" w:rsidP="00323E47">
      <w:pPr>
        <w:numPr>
          <w:ilvl w:val="0"/>
          <w:numId w:val="12"/>
        </w:numPr>
        <w:tabs>
          <w:tab w:val="clear" w:pos="360"/>
          <w:tab w:val="num" w:pos="-360"/>
        </w:tabs>
        <w:ind w:left="-360"/>
        <w:rPr>
          <w:sz w:val="24"/>
          <w:szCs w:val="24"/>
        </w:rPr>
      </w:pPr>
      <w:r w:rsidRPr="001163D5">
        <w:rPr>
          <w:sz w:val="24"/>
          <w:szCs w:val="24"/>
        </w:rPr>
        <w:lastRenderedPageBreak/>
        <w:t>With the exception of the U.S. Government and its agencies, no one sector allocation should exceed 50% of the portfolio on a market value basis.</w:t>
      </w:r>
    </w:p>
    <w:p w:rsidR="0076001B" w:rsidRPr="001163D5" w:rsidRDefault="0076001B" w:rsidP="00323E47">
      <w:pPr>
        <w:rPr>
          <w:sz w:val="24"/>
          <w:szCs w:val="24"/>
        </w:rPr>
      </w:pPr>
    </w:p>
    <w:p w:rsidR="001262B3" w:rsidRPr="001163D5" w:rsidRDefault="004F5868" w:rsidP="00E0569E">
      <w:pPr>
        <w:numPr>
          <w:ilvl w:val="0"/>
          <w:numId w:val="12"/>
        </w:numPr>
        <w:tabs>
          <w:tab w:val="clear" w:pos="360"/>
          <w:tab w:val="num" w:pos="-360"/>
        </w:tabs>
        <w:ind w:left="-360"/>
        <w:rPr>
          <w:sz w:val="24"/>
          <w:szCs w:val="24"/>
        </w:rPr>
      </w:pPr>
      <w:r w:rsidRPr="001163D5">
        <w:rPr>
          <w:sz w:val="24"/>
          <w:szCs w:val="24"/>
        </w:rPr>
        <w:t>E</w:t>
      </w:r>
      <w:r w:rsidR="0076001B" w:rsidRPr="001163D5">
        <w:rPr>
          <w:sz w:val="24"/>
          <w:szCs w:val="24"/>
        </w:rPr>
        <w:t xml:space="preserve">xceptions to these guidelines shall be reported in writing by the manager </w:t>
      </w:r>
      <w:r w:rsidR="002B36D1">
        <w:rPr>
          <w:sz w:val="24"/>
          <w:szCs w:val="24"/>
        </w:rPr>
        <w:t xml:space="preserve">to </w:t>
      </w:r>
      <w:r w:rsidR="00247B6B" w:rsidRPr="001163D5">
        <w:rPr>
          <w:sz w:val="24"/>
          <w:szCs w:val="24"/>
        </w:rPr>
        <w:t>Staff</w:t>
      </w:r>
      <w:r w:rsidR="0076001B" w:rsidRPr="001163D5">
        <w:rPr>
          <w:sz w:val="24"/>
          <w:szCs w:val="24"/>
        </w:rPr>
        <w:t>.</w:t>
      </w:r>
      <w:r w:rsidR="001262B3" w:rsidRPr="001163D5">
        <w:rPr>
          <w:sz w:val="24"/>
          <w:szCs w:val="24"/>
        </w:rPr>
        <w:br/>
      </w:r>
    </w:p>
    <w:p w:rsidR="0076001B" w:rsidRPr="001163D5" w:rsidRDefault="0076001B" w:rsidP="00323E47">
      <w:pPr>
        <w:rPr>
          <w:sz w:val="24"/>
          <w:szCs w:val="24"/>
        </w:rPr>
      </w:pPr>
    </w:p>
    <w:p w:rsidR="00AB23A4" w:rsidRPr="001163D5" w:rsidRDefault="00AB23A4" w:rsidP="00AB23A4">
      <w:pPr>
        <w:numPr>
          <w:ilvl w:val="0"/>
          <w:numId w:val="29"/>
        </w:numPr>
        <w:tabs>
          <w:tab w:val="clear" w:pos="360"/>
          <w:tab w:val="num" w:pos="-720"/>
        </w:tabs>
        <w:ind w:left="-720"/>
        <w:rPr>
          <w:sz w:val="24"/>
          <w:szCs w:val="24"/>
        </w:rPr>
      </w:pPr>
      <w:r w:rsidRPr="001163D5">
        <w:rPr>
          <w:sz w:val="24"/>
          <w:szCs w:val="24"/>
        </w:rPr>
        <w:t>Alternatives Investments</w:t>
      </w:r>
    </w:p>
    <w:p w:rsidR="0039537F" w:rsidRPr="001163D5" w:rsidRDefault="004F5868" w:rsidP="0039537F">
      <w:pPr>
        <w:numPr>
          <w:ilvl w:val="0"/>
          <w:numId w:val="41"/>
        </w:numPr>
        <w:tabs>
          <w:tab w:val="clear" w:pos="0"/>
        </w:tabs>
        <w:ind w:left="-360"/>
        <w:rPr>
          <w:sz w:val="24"/>
          <w:szCs w:val="24"/>
        </w:rPr>
      </w:pPr>
      <w:r w:rsidRPr="001163D5">
        <w:rPr>
          <w:sz w:val="24"/>
          <w:szCs w:val="24"/>
        </w:rPr>
        <w:t>The Foundation invests in alternative asset classes to diversify returns and to reduce correlations to equity and bond investments.  Alternatives investments may include fund of funds or direct hedge funds, private equity or real estate, real assets or commoditie</w:t>
      </w:r>
      <w:r w:rsidR="0039537F" w:rsidRPr="001163D5">
        <w:rPr>
          <w:sz w:val="24"/>
          <w:szCs w:val="24"/>
        </w:rPr>
        <w:t>s.</w:t>
      </w:r>
      <w:r w:rsidR="0039537F" w:rsidRPr="001163D5">
        <w:rPr>
          <w:sz w:val="24"/>
          <w:szCs w:val="24"/>
          <w:u w:val="single"/>
        </w:rPr>
        <w:t xml:space="preserve">  </w:t>
      </w:r>
      <w:r w:rsidR="0039537F" w:rsidRPr="001163D5">
        <w:rPr>
          <w:sz w:val="24"/>
          <w:szCs w:val="24"/>
        </w:rPr>
        <w:t>Common features of alternative investments are limited liquidity, derivative usage, leverage and shorting, lower regulatory oversight, limited transparency, and higher fees versus traditional asset classes.  Compensating for these risks, these investments offer the potential of diversification and/or higher rates of return over time.</w:t>
      </w:r>
    </w:p>
    <w:p w:rsidR="0039537F" w:rsidRPr="001163D5" w:rsidRDefault="0039537F" w:rsidP="0039537F">
      <w:pPr>
        <w:ind w:left="-720"/>
        <w:rPr>
          <w:sz w:val="24"/>
          <w:szCs w:val="24"/>
        </w:rPr>
      </w:pPr>
    </w:p>
    <w:p w:rsidR="0039537F" w:rsidRPr="001163D5" w:rsidRDefault="00C00956" w:rsidP="0039537F">
      <w:pPr>
        <w:pStyle w:val="ListParagraph"/>
        <w:numPr>
          <w:ilvl w:val="0"/>
          <w:numId w:val="41"/>
        </w:numPr>
        <w:tabs>
          <w:tab w:val="clear" w:pos="0"/>
        </w:tabs>
        <w:ind w:left="-360"/>
        <w:rPr>
          <w:sz w:val="24"/>
          <w:szCs w:val="24"/>
        </w:rPr>
      </w:pPr>
      <w:r w:rsidRPr="001163D5">
        <w:rPr>
          <w:sz w:val="24"/>
          <w:szCs w:val="24"/>
        </w:rPr>
        <w:t xml:space="preserve">Investments will be evaluated and chosen with assistance from the Foundation’s </w:t>
      </w:r>
      <w:r w:rsidR="0039537F" w:rsidRPr="001163D5">
        <w:rPr>
          <w:sz w:val="24"/>
          <w:szCs w:val="24"/>
        </w:rPr>
        <w:t>C</w:t>
      </w:r>
      <w:r w:rsidRPr="001163D5">
        <w:rPr>
          <w:sz w:val="24"/>
          <w:szCs w:val="24"/>
        </w:rPr>
        <w:t>onsultant.</w:t>
      </w:r>
    </w:p>
    <w:p w:rsidR="0039537F" w:rsidRPr="001163D5" w:rsidRDefault="0039537F" w:rsidP="0039537F">
      <w:pPr>
        <w:pStyle w:val="ListParagraph"/>
        <w:rPr>
          <w:sz w:val="24"/>
          <w:szCs w:val="24"/>
        </w:rPr>
      </w:pPr>
    </w:p>
    <w:p w:rsidR="0039537F" w:rsidRPr="001163D5" w:rsidRDefault="0039537F" w:rsidP="0039537F">
      <w:pPr>
        <w:pStyle w:val="ListParagraph"/>
        <w:numPr>
          <w:ilvl w:val="0"/>
          <w:numId w:val="41"/>
        </w:numPr>
        <w:tabs>
          <w:tab w:val="clear" w:pos="0"/>
        </w:tabs>
        <w:ind w:left="-360"/>
        <w:rPr>
          <w:sz w:val="24"/>
          <w:szCs w:val="24"/>
        </w:rPr>
      </w:pPr>
      <w:r w:rsidRPr="001163D5">
        <w:rPr>
          <w:sz w:val="24"/>
          <w:szCs w:val="24"/>
        </w:rPr>
        <w:t xml:space="preserve">A strategic plan will be developed for Private Equity and Real Asset allocations and reviewed annually.  The plans shall include, but not be limited to, a projected capital commitment pace and intended deployment schedule by general market strategy.  The program shall be diversified by vintage year and strategy.  All investment decisions should be made within the context of the strategic plan. </w:t>
      </w:r>
    </w:p>
    <w:p w:rsidR="0039537F" w:rsidRPr="001163D5" w:rsidRDefault="0039537F" w:rsidP="0039537F">
      <w:pPr>
        <w:pStyle w:val="ListParagraph"/>
        <w:rPr>
          <w:sz w:val="24"/>
          <w:szCs w:val="24"/>
        </w:rPr>
      </w:pPr>
    </w:p>
    <w:p w:rsidR="0039537F" w:rsidRPr="001163D5" w:rsidRDefault="0039537F" w:rsidP="0039537F">
      <w:pPr>
        <w:pStyle w:val="ListParagraph"/>
        <w:numPr>
          <w:ilvl w:val="0"/>
          <w:numId w:val="41"/>
        </w:numPr>
        <w:tabs>
          <w:tab w:val="clear" w:pos="0"/>
        </w:tabs>
        <w:ind w:left="-360"/>
        <w:rPr>
          <w:sz w:val="24"/>
          <w:szCs w:val="24"/>
        </w:rPr>
      </w:pPr>
      <w:r w:rsidRPr="001163D5">
        <w:rPr>
          <w:sz w:val="24"/>
          <w:szCs w:val="24"/>
        </w:rPr>
        <w:t xml:space="preserve">A strategic plan will be developed for the Hedge Fund allocation and reviewed annually.  The plan shall be diversified across strategy and shall have targets for each strategy. </w:t>
      </w:r>
    </w:p>
    <w:p w:rsidR="00434C46" w:rsidRPr="001163D5" w:rsidRDefault="00434C46" w:rsidP="00434C46">
      <w:pPr>
        <w:pStyle w:val="BodyTextIndent3"/>
        <w:spacing w:line="240" w:lineRule="exact"/>
        <w:ind w:left="0"/>
        <w:rPr>
          <w:rFonts w:ascii="Arial" w:hAnsi="Arial" w:cs="Arial"/>
          <w:b/>
        </w:rPr>
      </w:pPr>
    </w:p>
    <w:p w:rsidR="00434C46" w:rsidRPr="001163D5" w:rsidRDefault="00434C46" w:rsidP="00434C46">
      <w:pPr>
        <w:numPr>
          <w:ilvl w:val="0"/>
          <w:numId w:val="29"/>
        </w:numPr>
        <w:tabs>
          <w:tab w:val="clear" w:pos="360"/>
          <w:tab w:val="num" w:pos="-720"/>
        </w:tabs>
        <w:ind w:left="-720"/>
        <w:rPr>
          <w:sz w:val="24"/>
          <w:szCs w:val="24"/>
        </w:rPr>
      </w:pPr>
      <w:r w:rsidRPr="001163D5">
        <w:rPr>
          <w:sz w:val="24"/>
          <w:szCs w:val="24"/>
        </w:rPr>
        <w:t>Opportunistic Investments</w:t>
      </w:r>
    </w:p>
    <w:p w:rsidR="00434C46" w:rsidRPr="001163D5" w:rsidRDefault="00434C46" w:rsidP="00434C46">
      <w:pPr>
        <w:pStyle w:val="BodyTextIndent3"/>
        <w:numPr>
          <w:ilvl w:val="0"/>
          <w:numId w:val="47"/>
        </w:numPr>
        <w:spacing w:line="240" w:lineRule="exact"/>
        <w:ind w:left="-360"/>
        <w:rPr>
          <w:sz w:val="24"/>
          <w:szCs w:val="24"/>
        </w:rPr>
      </w:pPr>
      <w:r w:rsidRPr="001163D5">
        <w:rPr>
          <w:sz w:val="24"/>
          <w:szCs w:val="24"/>
        </w:rPr>
        <w:t>The strategic asset allocation shall include an opportunistic investment target of 0% with a range of 0-10%.  Opportunistic investing is defined as investments in unique opportunities brought about by dislocated or unusual market conditions, which can provide superior risk adjusted return potential in a specific asset class.</w:t>
      </w:r>
    </w:p>
    <w:p w:rsidR="003D6B67" w:rsidRPr="001163D5" w:rsidRDefault="003D6B67" w:rsidP="00E0569E">
      <w:pPr>
        <w:ind w:left="-360"/>
        <w:rPr>
          <w:sz w:val="24"/>
          <w:szCs w:val="24"/>
        </w:rPr>
      </w:pPr>
    </w:p>
    <w:p w:rsidR="0076001B" w:rsidRPr="001163D5" w:rsidRDefault="0076001B" w:rsidP="00323E47">
      <w:pPr>
        <w:numPr>
          <w:ilvl w:val="0"/>
          <w:numId w:val="4"/>
        </w:numPr>
        <w:tabs>
          <w:tab w:val="clear" w:pos="360"/>
          <w:tab w:val="num" w:pos="-1080"/>
        </w:tabs>
        <w:ind w:left="-1080"/>
        <w:rPr>
          <w:sz w:val="24"/>
          <w:szCs w:val="24"/>
        </w:rPr>
      </w:pPr>
      <w:r w:rsidRPr="001163D5">
        <w:rPr>
          <w:b/>
          <w:sz w:val="24"/>
          <w:szCs w:val="24"/>
          <w:u w:val="single"/>
        </w:rPr>
        <w:t>Proxy Voting</w:t>
      </w:r>
    </w:p>
    <w:p w:rsidR="0076001B" w:rsidRPr="001163D5" w:rsidRDefault="0076001B" w:rsidP="00323E47">
      <w:pPr>
        <w:ind w:left="-1080"/>
        <w:rPr>
          <w:sz w:val="24"/>
          <w:szCs w:val="24"/>
        </w:rPr>
      </w:pPr>
    </w:p>
    <w:p w:rsidR="0076001B" w:rsidRPr="001163D5" w:rsidRDefault="0076001B" w:rsidP="00323E47">
      <w:pPr>
        <w:ind w:left="-1080"/>
        <w:rPr>
          <w:sz w:val="24"/>
          <w:szCs w:val="24"/>
        </w:rPr>
      </w:pPr>
      <w:r w:rsidRPr="001163D5">
        <w:rPr>
          <w:sz w:val="24"/>
          <w:szCs w:val="24"/>
        </w:rPr>
        <w:t xml:space="preserve">Managers are to vote proxies in the best interests of the Foundation.  If appropriate, the managers may seek guidance from the </w:t>
      </w:r>
      <w:r w:rsidR="009938EC" w:rsidRPr="001163D5">
        <w:rPr>
          <w:sz w:val="24"/>
          <w:szCs w:val="24"/>
        </w:rPr>
        <w:t>Investment</w:t>
      </w:r>
      <w:r w:rsidRPr="001163D5">
        <w:rPr>
          <w:sz w:val="24"/>
          <w:szCs w:val="24"/>
        </w:rPr>
        <w:t xml:space="preserve"> Committee.</w:t>
      </w:r>
    </w:p>
    <w:p w:rsidR="005041D2" w:rsidRPr="001163D5" w:rsidRDefault="005041D2" w:rsidP="00323E47">
      <w:pPr>
        <w:ind w:left="-1080"/>
        <w:rPr>
          <w:sz w:val="24"/>
          <w:szCs w:val="24"/>
        </w:rPr>
      </w:pPr>
    </w:p>
    <w:p w:rsidR="005041D2" w:rsidRPr="001163D5" w:rsidRDefault="005041D2" w:rsidP="005041D2">
      <w:pPr>
        <w:pStyle w:val="ListParagraph"/>
        <w:numPr>
          <w:ilvl w:val="0"/>
          <w:numId w:val="4"/>
        </w:numPr>
        <w:tabs>
          <w:tab w:val="clear" w:pos="360"/>
        </w:tabs>
        <w:ind w:left="-1080"/>
        <w:rPr>
          <w:sz w:val="24"/>
          <w:szCs w:val="24"/>
          <w:u w:val="single"/>
        </w:rPr>
      </w:pPr>
      <w:r w:rsidRPr="001163D5">
        <w:rPr>
          <w:b/>
          <w:sz w:val="24"/>
          <w:szCs w:val="24"/>
          <w:u w:val="single"/>
        </w:rPr>
        <w:t>Rebalancing Policy</w:t>
      </w:r>
    </w:p>
    <w:p w:rsidR="005041D2" w:rsidRPr="001163D5" w:rsidRDefault="005041D2" w:rsidP="005041D2">
      <w:pPr>
        <w:ind w:left="-1080"/>
        <w:rPr>
          <w:sz w:val="24"/>
          <w:szCs w:val="24"/>
        </w:rPr>
      </w:pPr>
      <w:r w:rsidRPr="001163D5">
        <w:rPr>
          <w:sz w:val="24"/>
          <w:szCs w:val="24"/>
        </w:rPr>
        <w:t>Upon approval from the Investment Committee, the Fund will be rebalanced by Staff if a liquid asset class exceeds the minimum or maximum allocation specified within the policy ranges.  Routine cash flows (contributions and spending) can be used to maintain the allocation as close as practical to the target allocations.  If routine cash flows are insufficient to maintain the allocation within the permissible ranges, balances will be transferred between asset classes as necessary to bring the allocation back within the permissible ranges.</w:t>
      </w:r>
    </w:p>
    <w:p w:rsidR="0076001B" w:rsidRPr="001163D5" w:rsidRDefault="0076001B" w:rsidP="00323E47">
      <w:pPr>
        <w:ind w:left="-1080"/>
        <w:rPr>
          <w:sz w:val="24"/>
          <w:szCs w:val="24"/>
        </w:rPr>
      </w:pPr>
    </w:p>
    <w:p w:rsidR="0076001B" w:rsidRPr="001163D5" w:rsidRDefault="0076001B" w:rsidP="00323E47">
      <w:pPr>
        <w:numPr>
          <w:ilvl w:val="0"/>
          <w:numId w:val="4"/>
        </w:numPr>
        <w:tabs>
          <w:tab w:val="clear" w:pos="360"/>
          <w:tab w:val="num" w:pos="-1080"/>
        </w:tabs>
        <w:ind w:left="-1080"/>
        <w:rPr>
          <w:sz w:val="24"/>
          <w:szCs w:val="24"/>
        </w:rPr>
      </w:pPr>
      <w:r w:rsidRPr="001163D5">
        <w:rPr>
          <w:b/>
          <w:sz w:val="24"/>
          <w:szCs w:val="24"/>
          <w:u w:val="single"/>
        </w:rPr>
        <w:t>Review</w:t>
      </w:r>
    </w:p>
    <w:p w:rsidR="0076001B" w:rsidRPr="001163D5" w:rsidRDefault="0076001B" w:rsidP="00323E47">
      <w:pPr>
        <w:ind w:left="-1080"/>
        <w:rPr>
          <w:sz w:val="24"/>
          <w:szCs w:val="24"/>
        </w:rPr>
      </w:pPr>
    </w:p>
    <w:p w:rsidR="0076001B" w:rsidRPr="001163D5" w:rsidRDefault="0076001B" w:rsidP="00323E47">
      <w:pPr>
        <w:ind w:left="-1080"/>
        <w:rPr>
          <w:sz w:val="24"/>
          <w:szCs w:val="24"/>
        </w:rPr>
      </w:pPr>
      <w:r w:rsidRPr="001163D5">
        <w:rPr>
          <w:sz w:val="24"/>
          <w:szCs w:val="24"/>
        </w:rPr>
        <w:t xml:space="preserve">The </w:t>
      </w:r>
      <w:r w:rsidR="009938EC" w:rsidRPr="001163D5">
        <w:rPr>
          <w:sz w:val="24"/>
          <w:szCs w:val="24"/>
        </w:rPr>
        <w:t>Investment</w:t>
      </w:r>
      <w:r w:rsidRPr="001163D5">
        <w:rPr>
          <w:sz w:val="24"/>
          <w:szCs w:val="24"/>
        </w:rPr>
        <w:t xml:space="preserve"> Committee reviews the investment policy with the </w:t>
      </w:r>
      <w:r w:rsidR="005041D2" w:rsidRPr="001163D5">
        <w:rPr>
          <w:sz w:val="24"/>
          <w:szCs w:val="24"/>
        </w:rPr>
        <w:t>C</w:t>
      </w:r>
      <w:r w:rsidR="003D6B67" w:rsidRPr="001163D5">
        <w:rPr>
          <w:sz w:val="24"/>
          <w:szCs w:val="24"/>
        </w:rPr>
        <w:t xml:space="preserve">onsultant annually </w:t>
      </w:r>
      <w:r w:rsidRPr="001163D5">
        <w:rPr>
          <w:sz w:val="24"/>
          <w:szCs w:val="24"/>
        </w:rPr>
        <w:t xml:space="preserve">and </w:t>
      </w:r>
      <w:r w:rsidR="003D6B67" w:rsidRPr="001163D5">
        <w:rPr>
          <w:sz w:val="24"/>
          <w:szCs w:val="24"/>
        </w:rPr>
        <w:t xml:space="preserve">recommends </w:t>
      </w:r>
      <w:r w:rsidRPr="001163D5">
        <w:rPr>
          <w:sz w:val="24"/>
          <w:szCs w:val="24"/>
        </w:rPr>
        <w:t xml:space="preserve">revisions </w:t>
      </w:r>
      <w:r w:rsidR="003D6B67" w:rsidRPr="001163D5">
        <w:rPr>
          <w:sz w:val="24"/>
          <w:szCs w:val="24"/>
        </w:rPr>
        <w:t xml:space="preserve">to the Board </w:t>
      </w:r>
      <w:r w:rsidRPr="001163D5">
        <w:rPr>
          <w:sz w:val="24"/>
          <w:szCs w:val="24"/>
        </w:rPr>
        <w:t xml:space="preserve">when appropriate.  </w:t>
      </w:r>
      <w:r w:rsidR="005041D2" w:rsidRPr="001163D5">
        <w:rPr>
          <w:sz w:val="24"/>
          <w:szCs w:val="24"/>
        </w:rPr>
        <w:t>Total fund, asset class and m</w:t>
      </w:r>
      <w:r w:rsidRPr="001163D5">
        <w:rPr>
          <w:sz w:val="24"/>
          <w:szCs w:val="24"/>
        </w:rPr>
        <w:t xml:space="preserve">anager performance </w:t>
      </w:r>
      <w:r w:rsidR="009938EC" w:rsidRPr="001163D5">
        <w:rPr>
          <w:sz w:val="24"/>
          <w:szCs w:val="24"/>
        </w:rPr>
        <w:t xml:space="preserve">data </w:t>
      </w:r>
      <w:r w:rsidRPr="001163D5">
        <w:rPr>
          <w:sz w:val="24"/>
          <w:szCs w:val="24"/>
        </w:rPr>
        <w:t xml:space="preserve">is monitored </w:t>
      </w:r>
      <w:r w:rsidR="009938EC" w:rsidRPr="001163D5">
        <w:rPr>
          <w:sz w:val="24"/>
          <w:szCs w:val="24"/>
        </w:rPr>
        <w:t xml:space="preserve">and </w:t>
      </w:r>
      <w:r w:rsidRPr="001163D5">
        <w:rPr>
          <w:sz w:val="24"/>
          <w:szCs w:val="24"/>
        </w:rPr>
        <w:t>distributed quarterly.</w:t>
      </w:r>
    </w:p>
    <w:p w:rsidR="005041D2" w:rsidRPr="001163D5" w:rsidRDefault="005041D2" w:rsidP="00323E47">
      <w:pPr>
        <w:ind w:left="-1080"/>
        <w:rPr>
          <w:sz w:val="24"/>
          <w:szCs w:val="24"/>
        </w:rPr>
      </w:pPr>
    </w:p>
    <w:p w:rsidR="005041D2" w:rsidRPr="001163D5" w:rsidRDefault="005041D2" w:rsidP="00323E47">
      <w:pPr>
        <w:ind w:left="-1080"/>
        <w:rPr>
          <w:sz w:val="24"/>
          <w:szCs w:val="24"/>
        </w:rPr>
      </w:pPr>
    </w:p>
    <w:p w:rsidR="005041D2" w:rsidRPr="001163D5" w:rsidRDefault="005041D2" w:rsidP="00323E47">
      <w:pPr>
        <w:ind w:left="-1080"/>
        <w:rPr>
          <w:sz w:val="24"/>
          <w:szCs w:val="24"/>
        </w:rPr>
      </w:pPr>
      <w:r w:rsidRPr="001163D5">
        <w:rPr>
          <w:sz w:val="24"/>
          <w:szCs w:val="24"/>
        </w:rPr>
        <w:br w:type="page"/>
      </w:r>
    </w:p>
    <w:p w:rsidR="005041D2" w:rsidRPr="001163D5" w:rsidRDefault="005041D2" w:rsidP="002B36D1">
      <w:pPr>
        <w:jc w:val="right"/>
        <w:rPr>
          <w:sz w:val="24"/>
          <w:szCs w:val="24"/>
        </w:rPr>
      </w:pPr>
      <w:r w:rsidRPr="001163D5">
        <w:rPr>
          <w:b/>
          <w:sz w:val="24"/>
          <w:szCs w:val="24"/>
        </w:rPr>
        <w:lastRenderedPageBreak/>
        <w:t>APPENDIX I</w:t>
      </w:r>
    </w:p>
    <w:p w:rsidR="005041D2" w:rsidRPr="001163D5" w:rsidRDefault="005041D2" w:rsidP="002B36D1">
      <w:pPr>
        <w:jc w:val="center"/>
        <w:rPr>
          <w:b/>
          <w:sz w:val="24"/>
          <w:szCs w:val="24"/>
        </w:rPr>
      </w:pPr>
    </w:p>
    <w:p w:rsidR="00F11F19" w:rsidRPr="001163D5" w:rsidRDefault="00F11F19" w:rsidP="002B36D1">
      <w:pPr>
        <w:pStyle w:val="Title"/>
        <w:ind w:left="-1440"/>
        <w:rPr>
          <w:szCs w:val="24"/>
        </w:rPr>
      </w:pPr>
      <w:r w:rsidRPr="001163D5">
        <w:rPr>
          <w:szCs w:val="24"/>
        </w:rPr>
        <w:t>FAIRFIELD COUNTY’S COMMUNITY FOUNDATION</w:t>
      </w:r>
    </w:p>
    <w:p w:rsidR="005041D2" w:rsidRPr="001163D5" w:rsidRDefault="005041D2" w:rsidP="002B36D1">
      <w:pPr>
        <w:jc w:val="center"/>
        <w:rPr>
          <w:b/>
          <w:sz w:val="24"/>
          <w:szCs w:val="24"/>
        </w:rPr>
      </w:pPr>
    </w:p>
    <w:p w:rsidR="005041D2" w:rsidRPr="001163D5" w:rsidRDefault="005041D2" w:rsidP="002B36D1">
      <w:pPr>
        <w:jc w:val="center"/>
        <w:rPr>
          <w:sz w:val="24"/>
          <w:szCs w:val="24"/>
        </w:rPr>
      </w:pPr>
      <w:r w:rsidRPr="001163D5">
        <w:rPr>
          <w:b/>
          <w:i/>
          <w:sz w:val="24"/>
          <w:szCs w:val="24"/>
        </w:rPr>
        <w:t>ASSET ALLOCATION POLICY</w:t>
      </w:r>
    </w:p>
    <w:p w:rsidR="005041D2" w:rsidRPr="001163D5" w:rsidRDefault="005041D2" w:rsidP="002B36D1">
      <w:pPr>
        <w:jc w:val="both"/>
        <w:rPr>
          <w:sz w:val="24"/>
          <w:szCs w:val="24"/>
        </w:rPr>
      </w:pPr>
    </w:p>
    <w:p w:rsidR="005041D2" w:rsidRPr="001163D5" w:rsidRDefault="005041D2" w:rsidP="002B36D1">
      <w:pPr>
        <w:pStyle w:val="BodyTextIndent"/>
        <w:ind w:left="0"/>
        <w:rPr>
          <w:sz w:val="24"/>
          <w:szCs w:val="24"/>
        </w:rPr>
      </w:pPr>
      <w:r w:rsidRPr="001163D5">
        <w:rPr>
          <w:sz w:val="24"/>
          <w:szCs w:val="24"/>
        </w:rPr>
        <w:t xml:space="preserve">In order to have a reasonable probability of achieving the target return at an acceptable risk level, the </w:t>
      </w:r>
      <w:r w:rsidR="00F11F19" w:rsidRPr="001163D5">
        <w:rPr>
          <w:sz w:val="24"/>
          <w:szCs w:val="24"/>
        </w:rPr>
        <w:t xml:space="preserve">Investment </w:t>
      </w:r>
      <w:r w:rsidRPr="001163D5">
        <w:rPr>
          <w:sz w:val="24"/>
          <w:szCs w:val="24"/>
        </w:rPr>
        <w:t>Committee has adopted the asset allocation policy outlined below.   </w:t>
      </w:r>
    </w:p>
    <w:p w:rsidR="005041D2" w:rsidRPr="001163D5" w:rsidRDefault="005041D2" w:rsidP="002B36D1">
      <w:pPr>
        <w:pStyle w:val="BodyTextIndent"/>
        <w:ind w:left="0"/>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3"/>
        <w:gridCol w:w="1296"/>
        <w:gridCol w:w="1429"/>
        <w:gridCol w:w="3330"/>
      </w:tblGrid>
      <w:tr w:rsidR="005041D2" w:rsidRPr="001163D5" w:rsidTr="00A76B47">
        <w:tc>
          <w:tcPr>
            <w:tcW w:w="3413" w:type="dxa"/>
            <w:tcBorders>
              <w:top w:val="single" w:sz="12" w:space="0" w:color="auto"/>
              <w:left w:val="nil"/>
              <w:bottom w:val="single" w:sz="12" w:space="0" w:color="auto"/>
              <w:right w:val="nil"/>
            </w:tcBorders>
            <w:shd w:val="pct12" w:color="auto" w:fill="FFFFFF"/>
          </w:tcPr>
          <w:p w:rsidR="005041D2" w:rsidRPr="001163D5" w:rsidRDefault="005041D2" w:rsidP="002B36D1">
            <w:pPr>
              <w:spacing w:line="240" w:lineRule="exact"/>
              <w:jc w:val="both"/>
              <w:rPr>
                <w:b/>
                <w:sz w:val="24"/>
                <w:szCs w:val="24"/>
              </w:rPr>
            </w:pPr>
            <w:r w:rsidRPr="001163D5">
              <w:rPr>
                <w:b/>
                <w:sz w:val="24"/>
                <w:szCs w:val="24"/>
              </w:rPr>
              <w:t>Asset Class</w:t>
            </w:r>
          </w:p>
        </w:tc>
        <w:tc>
          <w:tcPr>
            <w:tcW w:w="1296" w:type="dxa"/>
            <w:tcBorders>
              <w:top w:val="single" w:sz="12" w:space="0" w:color="auto"/>
              <w:left w:val="nil"/>
              <w:bottom w:val="single" w:sz="12" w:space="0" w:color="auto"/>
              <w:right w:val="nil"/>
            </w:tcBorders>
            <w:shd w:val="pct12" w:color="auto" w:fill="FFFFFF"/>
          </w:tcPr>
          <w:p w:rsidR="005041D2" w:rsidRPr="001163D5" w:rsidRDefault="005041D2" w:rsidP="002B36D1">
            <w:pPr>
              <w:spacing w:line="240" w:lineRule="exact"/>
              <w:jc w:val="center"/>
              <w:rPr>
                <w:b/>
                <w:sz w:val="24"/>
                <w:szCs w:val="24"/>
              </w:rPr>
            </w:pPr>
            <w:r w:rsidRPr="001163D5">
              <w:rPr>
                <w:b/>
                <w:sz w:val="24"/>
                <w:szCs w:val="24"/>
              </w:rPr>
              <w:t>Target %</w:t>
            </w:r>
          </w:p>
        </w:tc>
        <w:tc>
          <w:tcPr>
            <w:tcW w:w="1429" w:type="dxa"/>
            <w:tcBorders>
              <w:top w:val="single" w:sz="12" w:space="0" w:color="auto"/>
              <w:left w:val="nil"/>
              <w:bottom w:val="single" w:sz="12" w:space="0" w:color="auto"/>
              <w:right w:val="nil"/>
            </w:tcBorders>
            <w:shd w:val="pct12" w:color="auto" w:fill="FFFFFF"/>
          </w:tcPr>
          <w:p w:rsidR="005041D2" w:rsidRPr="001163D5" w:rsidRDefault="005041D2" w:rsidP="002B36D1">
            <w:pPr>
              <w:spacing w:line="240" w:lineRule="exact"/>
              <w:jc w:val="center"/>
              <w:rPr>
                <w:b/>
                <w:sz w:val="24"/>
                <w:szCs w:val="24"/>
              </w:rPr>
            </w:pPr>
            <w:r w:rsidRPr="001163D5">
              <w:rPr>
                <w:b/>
                <w:sz w:val="24"/>
                <w:szCs w:val="24"/>
              </w:rPr>
              <w:t>Range %</w:t>
            </w:r>
          </w:p>
        </w:tc>
        <w:tc>
          <w:tcPr>
            <w:tcW w:w="3330" w:type="dxa"/>
            <w:tcBorders>
              <w:top w:val="single" w:sz="12" w:space="0" w:color="auto"/>
              <w:left w:val="nil"/>
              <w:bottom w:val="single" w:sz="12" w:space="0" w:color="auto"/>
              <w:right w:val="nil"/>
            </w:tcBorders>
            <w:shd w:val="pct12" w:color="auto" w:fill="FFFFFF"/>
          </w:tcPr>
          <w:p w:rsidR="005041D2" w:rsidRPr="001163D5" w:rsidRDefault="00F11F19" w:rsidP="002B36D1">
            <w:pPr>
              <w:pStyle w:val="Heading2"/>
              <w:spacing w:line="240" w:lineRule="exact"/>
              <w:ind w:firstLine="0"/>
              <w:rPr>
                <w:sz w:val="24"/>
                <w:szCs w:val="24"/>
              </w:rPr>
            </w:pPr>
            <w:r w:rsidRPr="001163D5">
              <w:rPr>
                <w:sz w:val="24"/>
                <w:szCs w:val="24"/>
              </w:rPr>
              <w:t>Benchmark</w:t>
            </w:r>
          </w:p>
        </w:tc>
      </w:tr>
      <w:tr w:rsidR="005041D2" w:rsidRPr="001163D5" w:rsidTr="00A76B47">
        <w:trPr>
          <w:trHeight w:val="54"/>
        </w:trPr>
        <w:tc>
          <w:tcPr>
            <w:tcW w:w="3413" w:type="dxa"/>
            <w:tcBorders>
              <w:top w:val="nil"/>
              <w:left w:val="nil"/>
              <w:bottom w:val="nil"/>
              <w:right w:val="nil"/>
            </w:tcBorders>
          </w:tcPr>
          <w:p w:rsidR="005041D2" w:rsidRPr="001163D5" w:rsidRDefault="005041D2" w:rsidP="002B36D1">
            <w:pPr>
              <w:spacing w:line="240" w:lineRule="exact"/>
              <w:jc w:val="both"/>
              <w:rPr>
                <w:b/>
                <w:sz w:val="24"/>
                <w:szCs w:val="24"/>
              </w:rPr>
            </w:pPr>
          </w:p>
        </w:tc>
        <w:tc>
          <w:tcPr>
            <w:tcW w:w="1296" w:type="dxa"/>
            <w:tcBorders>
              <w:top w:val="nil"/>
              <w:left w:val="nil"/>
              <w:bottom w:val="nil"/>
              <w:right w:val="nil"/>
            </w:tcBorders>
          </w:tcPr>
          <w:p w:rsidR="005041D2" w:rsidRPr="001163D5" w:rsidDel="0059271E" w:rsidRDefault="005041D2" w:rsidP="002B36D1">
            <w:pPr>
              <w:tabs>
                <w:tab w:val="decimal" w:pos="637"/>
              </w:tabs>
              <w:spacing w:line="240" w:lineRule="exact"/>
              <w:jc w:val="both"/>
              <w:rPr>
                <w:b/>
                <w:sz w:val="24"/>
                <w:szCs w:val="24"/>
              </w:rPr>
            </w:pPr>
          </w:p>
        </w:tc>
        <w:tc>
          <w:tcPr>
            <w:tcW w:w="1429" w:type="dxa"/>
            <w:tcBorders>
              <w:top w:val="nil"/>
              <w:left w:val="nil"/>
              <w:bottom w:val="nil"/>
              <w:right w:val="nil"/>
            </w:tcBorders>
          </w:tcPr>
          <w:p w:rsidR="005041D2" w:rsidRPr="001163D5" w:rsidDel="0059271E" w:rsidRDefault="005041D2" w:rsidP="002B36D1">
            <w:pPr>
              <w:tabs>
                <w:tab w:val="decimal" w:pos="421"/>
              </w:tabs>
              <w:spacing w:line="240" w:lineRule="exact"/>
              <w:jc w:val="both"/>
              <w:rPr>
                <w:b/>
                <w:sz w:val="24"/>
                <w:szCs w:val="24"/>
              </w:rPr>
            </w:pPr>
          </w:p>
        </w:tc>
        <w:tc>
          <w:tcPr>
            <w:tcW w:w="3330" w:type="dxa"/>
            <w:tcBorders>
              <w:top w:val="nil"/>
              <w:left w:val="nil"/>
              <w:bottom w:val="nil"/>
              <w:right w:val="nil"/>
            </w:tcBorders>
          </w:tcPr>
          <w:p w:rsidR="005041D2" w:rsidRPr="001163D5" w:rsidRDefault="005041D2" w:rsidP="002B36D1">
            <w:pPr>
              <w:spacing w:line="240" w:lineRule="exact"/>
              <w:jc w:val="both"/>
              <w:rPr>
                <w:b/>
                <w:sz w:val="24"/>
                <w:szCs w:val="24"/>
              </w:rPr>
            </w:pP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b/>
                <w:sz w:val="24"/>
                <w:szCs w:val="24"/>
              </w:rPr>
            </w:pPr>
            <w:r w:rsidRPr="001163D5">
              <w:rPr>
                <w:b/>
                <w:sz w:val="24"/>
                <w:szCs w:val="24"/>
              </w:rPr>
              <w:t>Equities</w:t>
            </w:r>
          </w:p>
        </w:tc>
        <w:tc>
          <w:tcPr>
            <w:tcW w:w="1296" w:type="dxa"/>
            <w:tcBorders>
              <w:top w:val="nil"/>
              <w:left w:val="nil"/>
              <w:bottom w:val="nil"/>
              <w:right w:val="nil"/>
            </w:tcBorders>
          </w:tcPr>
          <w:p w:rsidR="005041D2" w:rsidRPr="001163D5" w:rsidRDefault="00314C80" w:rsidP="002B36D1">
            <w:pPr>
              <w:tabs>
                <w:tab w:val="decimal" w:pos="637"/>
              </w:tabs>
              <w:spacing w:line="240" w:lineRule="exact"/>
              <w:jc w:val="both"/>
              <w:rPr>
                <w:b/>
                <w:sz w:val="24"/>
                <w:szCs w:val="24"/>
              </w:rPr>
            </w:pPr>
            <w:r w:rsidRPr="001163D5">
              <w:rPr>
                <w:b/>
                <w:sz w:val="24"/>
                <w:szCs w:val="24"/>
              </w:rPr>
              <w:t>53</w:t>
            </w:r>
            <w:r w:rsidR="005041D2" w:rsidRPr="001163D5">
              <w:rPr>
                <w:b/>
                <w:sz w:val="24"/>
                <w:szCs w:val="24"/>
              </w:rPr>
              <w:t>%</w:t>
            </w:r>
          </w:p>
        </w:tc>
        <w:tc>
          <w:tcPr>
            <w:tcW w:w="1429" w:type="dxa"/>
            <w:tcBorders>
              <w:top w:val="nil"/>
              <w:left w:val="nil"/>
              <w:bottom w:val="nil"/>
              <w:right w:val="nil"/>
            </w:tcBorders>
          </w:tcPr>
          <w:p w:rsidR="005041D2" w:rsidRPr="001163D5" w:rsidRDefault="00314C80" w:rsidP="002B36D1">
            <w:pPr>
              <w:tabs>
                <w:tab w:val="decimal" w:pos="421"/>
              </w:tabs>
              <w:spacing w:line="240" w:lineRule="exact"/>
              <w:jc w:val="both"/>
              <w:rPr>
                <w:b/>
                <w:sz w:val="24"/>
                <w:szCs w:val="24"/>
              </w:rPr>
            </w:pPr>
            <w:r w:rsidRPr="001163D5">
              <w:rPr>
                <w:b/>
                <w:sz w:val="24"/>
                <w:szCs w:val="24"/>
              </w:rPr>
              <w:t>45</w:t>
            </w:r>
            <w:r w:rsidR="005041D2" w:rsidRPr="001163D5">
              <w:rPr>
                <w:b/>
                <w:sz w:val="24"/>
                <w:szCs w:val="24"/>
              </w:rPr>
              <w:t xml:space="preserve"> </w:t>
            </w:r>
            <w:r w:rsidR="005041D2" w:rsidRPr="001163D5">
              <w:rPr>
                <w:sz w:val="24"/>
                <w:szCs w:val="24"/>
              </w:rPr>
              <w:t>–</w:t>
            </w:r>
            <w:r w:rsidRPr="001163D5">
              <w:rPr>
                <w:b/>
                <w:sz w:val="24"/>
                <w:szCs w:val="24"/>
              </w:rPr>
              <w:t xml:space="preserve"> 60</w:t>
            </w:r>
            <w:r w:rsidR="005041D2" w:rsidRPr="001163D5">
              <w:rPr>
                <w:b/>
                <w:sz w:val="24"/>
                <w:szCs w:val="24"/>
              </w:rPr>
              <w:t>%</w:t>
            </w:r>
          </w:p>
        </w:tc>
        <w:tc>
          <w:tcPr>
            <w:tcW w:w="3330" w:type="dxa"/>
            <w:tcBorders>
              <w:top w:val="nil"/>
              <w:left w:val="nil"/>
              <w:bottom w:val="nil"/>
              <w:right w:val="nil"/>
            </w:tcBorders>
          </w:tcPr>
          <w:p w:rsidR="005041D2" w:rsidRPr="001163D5" w:rsidRDefault="005041D2" w:rsidP="002B36D1">
            <w:pPr>
              <w:spacing w:line="240" w:lineRule="exact"/>
              <w:jc w:val="both"/>
              <w:rPr>
                <w:b/>
                <w:sz w:val="24"/>
                <w:szCs w:val="24"/>
              </w:rPr>
            </w:pP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 xml:space="preserve">  Domestic – Large Cap</w:t>
            </w:r>
          </w:p>
        </w:tc>
        <w:tc>
          <w:tcPr>
            <w:tcW w:w="1296" w:type="dxa"/>
            <w:tcBorders>
              <w:top w:val="nil"/>
              <w:left w:val="nil"/>
              <w:bottom w:val="nil"/>
              <w:right w:val="nil"/>
            </w:tcBorders>
          </w:tcPr>
          <w:p w:rsidR="005041D2" w:rsidRPr="001163D5" w:rsidRDefault="005041D2" w:rsidP="002B36D1">
            <w:pPr>
              <w:tabs>
                <w:tab w:val="decimal" w:pos="637"/>
              </w:tabs>
              <w:spacing w:line="240" w:lineRule="exact"/>
              <w:jc w:val="both"/>
              <w:rPr>
                <w:sz w:val="24"/>
                <w:szCs w:val="24"/>
              </w:rPr>
            </w:pPr>
            <w:r w:rsidRPr="001163D5">
              <w:rPr>
                <w:sz w:val="24"/>
                <w:szCs w:val="24"/>
              </w:rPr>
              <w:t>1</w:t>
            </w:r>
            <w:r w:rsidR="00314C80" w:rsidRPr="001163D5">
              <w:rPr>
                <w:sz w:val="24"/>
                <w:szCs w:val="24"/>
              </w:rPr>
              <w:t>5</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sz w:val="24"/>
                <w:szCs w:val="24"/>
              </w:rPr>
            </w:pPr>
          </w:p>
        </w:tc>
        <w:tc>
          <w:tcPr>
            <w:tcW w:w="3330"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S&amp;P 500</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 xml:space="preserve">  Domestic Small/Mid Cap</w:t>
            </w:r>
          </w:p>
        </w:tc>
        <w:tc>
          <w:tcPr>
            <w:tcW w:w="1296" w:type="dxa"/>
            <w:tcBorders>
              <w:top w:val="nil"/>
              <w:left w:val="nil"/>
              <w:bottom w:val="nil"/>
              <w:right w:val="nil"/>
            </w:tcBorders>
          </w:tcPr>
          <w:p w:rsidR="005041D2" w:rsidRPr="001163D5" w:rsidRDefault="00F11F19" w:rsidP="002B36D1">
            <w:pPr>
              <w:tabs>
                <w:tab w:val="decimal" w:pos="637"/>
              </w:tabs>
              <w:spacing w:line="240" w:lineRule="exact"/>
              <w:jc w:val="both"/>
              <w:rPr>
                <w:sz w:val="24"/>
                <w:szCs w:val="24"/>
              </w:rPr>
            </w:pPr>
            <w:r w:rsidRPr="001163D5">
              <w:rPr>
                <w:sz w:val="24"/>
                <w:szCs w:val="24"/>
              </w:rPr>
              <w:t>4</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sz w:val="24"/>
                <w:szCs w:val="24"/>
              </w:rPr>
            </w:pPr>
          </w:p>
        </w:tc>
        <w:tc>
          <w:tcPr>
            <w:tcW w:w="3330" w:type="dxa"/>
            <w:tcBorders>
              <w:top w:val="nil"/>
              <w:left w:val="nil"/>
              <w:bottom w:val="nil"/>
              <w:right w:val="nil"/>
            </w:tcBorders>
          </w:tcPr>
          <w:p w:rsidR="005041D2" w:rsidRPr="001163D5" w:rsidRDefault="00F11F19" w:rsidP="002B36D1">
            <w:pPr>
              <w:spacing w:line="240" w:lineRule="exact"/>
              <w:jc w:val="both"/>
              <w:rPr>
                <w:sz w:val="24"/>
                <w:szCs w:val="24"/>
              </w:rPr>
            </w:pPr>
            <w:r w:rsidRPr="001163D5">
              <w:rPr>
                <w:sz w:val="24"/>
                <w:szCs w:val="24"/>
              </w:rPr>
              <w:t>Russell 20</w:t>
            </w:r>
            <w:r w:rsidR="005041D2" w:rsidRPr="001163D5">
              <w:rPr>
                <w:sz w:val="24"/>
                <w:szCs w:val="24"/>
              </w:rPr>
              <w:t>00</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 xml:space="preserve">  </w:t>
            </w:r>
            <w:r w:rsidR="00F11F19" w:rsidRPr="001163D5">
              <w:rPr>
                <w:sz w:val="24"/>
                <w:szCs w:val="24"/>
              </w:rPr>
              <w:t>Global</w:t>
            </w:r>
          </w:p>
        </w:tc>
        <w:tc>
          <w:tcPr>
            <w:tcW w:w="1296" w:type="dxa"/>
            <w:tcBorders>
              <w:top w:val="nil"/>
              <w:left w:val="nil"/>
              <w:bottom w:val="nil"/>
              <w:right w:val="nil"/>
            </w:tcBorders>
          </w:tcPr>
          <w:p w:rsidR="005041D2" w:rsidRPr="001163D5" w:rsidRDefault="00F11F19" w:rsidP="002B36D1">
            <w:pPr>
              <w:tabs>
                <w:tab w:val="decimal" w:pos="637"/>
              </w:tabs>
              <w:spacing w:line="240" w:lineRule="exact"/>
              <w:jc w:val="both"/>
              <w:rPr>
                <w:sz w:val="24"/>
                <w:szCs w:val="24"/>
              </w:rPr>
            </w:pPr>
            <w:r w:rsidRPr="001163D5">
              <w:rPr>
                <w:sz w:val="24"/>
                <w:szCs w:val="24"/>
              </w:rPr>
              <w:t>1</w:t>
            </w:r>
            <w:r w:rsidR="00314C80" w:rsidRPr="001163D5">
              <w:rPr>
                <w:sz w:val="24"/>
                <w:szCs w:val="24"/>
              </w:rPr>
              <w:t>2</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sz w:val="24"/>
                <w:szCs w:val="24"/>
              </w:rPr>
            </w:pPr>
          </w:p>
        </w:tc>
        <w:tc>
          <w:tcPr>
            <w:tcW w:w="3330" w:type="dxa"/>
            <w:tcBorders>
              <w:top w:val="nil"/>
              <w:left w:val="nil"/>
              <w:bottom w:val="nil"/>
              <w:right w:val="nil"/>
            </w:tcBorders>
          </w:tcPr>
          <w:p w:rsidR="005041D2" w:rsidRPr="001163D5" w:rsidRDefault="00F11F19" w:rsidP="002B36D1">
            <w:pPr>
              <w:spacing w:line="240" w:lineRule="exact"/>
              <w:jc w:val="both"/>
              <w:rPr>
                <w:sz w:val="24"/>
                <w:szCs w:val="24"/>
              </w:rPr>
            </w:pPr>
            <w:r w:rsidRPr="001163D5">
              <w:rPr>
                <w:sz w:val="24"/>
                <w:szCs w:val="24"/>
              </w:rPr>
              <w:t>MSCI ACWI</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 xml:space="preserve">  International –Established</w:t>
            </w:r>
          </w:p>
          <w:p w:rsidR="00314C80" w:rsidRPr="001163D5" w:rsidRDefault="00314C80" w:rsidP="002B36D1">
            <w:pPr>
              <w:spacing w:line="240" w:lineRule="exact"/>
              <w:rPr>
                <w:sz w:val="24"/>
                <w:szCs w:val="24"/>
              </w:rPr>
            </w:pPr>
            <w:r w:rsidRPr="001163D5">
              <w:rPr>
                <w:sz w:val="24"/>
                <w:szCs w:val="24"/>
              </w:rPr>
              <w:t xml:space="preserve">  Int’l – Established Small Cap</w:t>
            </w:r>
          </w:p>
        </w:tc>
        <w:tc>
          <w:tcPr>
            <w:tcW w:w="1296" w:type="dxa"/>
            <w:tcBorders>
              <w:top w:val="nil"/>
              <w:left w:val="nil"/>
              <w:bottom w:val="nil"/>
              <w:right w:val="nil"/>
            </w:tcBorders>
          </w:tcPr>
          <w:p w:rsidR="005041D2" w:rsidRPr="001163D5" w:rsidRDefault="005041D2" w:rsidP="002B36D1">
            <w:pPr>
              <w:tabs>
                <w:tab w:val="decimal" w:pos="637"/>
              </w:tabs>
              <w:spacing w:line="240" w:lineRule="exact"/>
              <w:jc w:val="both"/>
              <w:rPr>
                <w:sz w:val="24"/>
                <w:szCs w:val="24"/>
              </w:rPr>
            </w:pPr>
            <w:r w:rsidRPr="001163D5">
              <w:rPr>
                <w:sz w:val="24"/>
                <w:szCs w:val="24"/>
              </w:rPr>
              <w:t>1</w:t>
            </w:r>
            <w:r w:rsidR="00314C80" w:rsidRPr="001163D5">
              <w:rPr>
                <w:sz w:val="24"/>
                <w:szCs w:val="24"/>
              </w:rPr>
              <w:t>2</w:t>
            </w:r>
          </w:p>
          <w:p w:rsidR="00314C80" w:rsidRPr="001163D5" w:rsidRDefault="00314C80" w:rsidP="002B36D1">
            <w:pPr>
              <w:tabs>
                <w:tab w:val="decimal" w:pos="637"/>
              </w:tabs>
              <w:spacing w:line="240" w:lineRule="exact"/>
              <w:jc w:val="both"/>
              <w:rPr>
                <w:sz w:val="24"/>
                <w:szCs w:val="24"/>
              </w:rPr>
            </w:pPr>
            <w:r w:rsidRPr="001163D5">
              <w:rPr>
                <w:sz w:val="24"/>
                <w:szCs w:val="24"/>
              </w:rPr>
              <w:t>5</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sz w:val="24"/>
                <w:szCs w:val="24"/>
              </w:rPr>
            </w:pPr>
          </w:p>
        </w:tc>
        <w:tc>
          <w:tcPr>
            <w:tcW w:w="3330"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MSCI EAFE Net</w:t>
            </w:r>
          </w:p>
          <w:p w:rsidR="00314C80" w:rsidRPr="001163D5" w:rsidRDefault="00314C80" w:rsidP="002B36D1">
            <w:pPr>
              <w:spacing w:line="240" w:lineRule="exact"/>
              <w:jc w:val="both"/>
              <w:rPr>
                <w:sz w:val="24"/>
                <w:szCs w:val="24"/>
              </w:rPr>
            </w:pPr>
            <w:r w:rsidRPr="001163D5">
              <w:rPr>
                <w:sz w:val="24"/>
                <w:szCs w:val="24"/>
              </w:rPr>
              <w:t>MSCI EAFE Small Cap</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 xml:space="preserve">  International – Emerging</w:t>
            </w:r>
          </w:p>
        </w:tc>
        <w:tc>
          <w:tcPr>
            <w:tcW w:w="1296" w:type="dxa"/>
            <w:tcBorders>
              <w:top w:val="nil"/>
              <w:left w:val="nil"/>
              <w:bottom w:val="nil"/>
              <w:right w:val="nil"/>
            </w:tcBorders>
          </w:tcPr>
          <w:p w:rsidR="005041D2" w:rsidRPr="001163D5" w:rsidRDefault="00314C80" w:rsidP="002B36D1">
            <w:pPr>
              <w:tabs>
                <w:tab w:val="decimal" w:pos="637"/>
              </w:tabs>
              <w:spacing w:line="240" w:lineRule="exact"/>
              <w:jc w:val="both"/>
              <w:rPr>
                <w:sz w:val="24"/>
                <w:szCs w:val="24"/>
              </w:rPr>
            </w:pPr>
            <w:r w:rsidRPr="001163D5">
              <w:rPr>
                <w:sz w:val="24"/>
                <w:szCs w:val="24"/>
              </w:rPr>
              <w:t>5</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sz w:val="24"/>
                <w:szCs w:val="24"/>
              </w:rPr>
            </w:pPr>
          </w:p>
        </w:tc>
        <w:tc>
          <w:tcPr>
            <w:tcW w:w="3330"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MSCI Emerging Markets Free</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p>
        </w:tc>
        <w:tc>
          <w:tcPr>
            <w:tcW w:w="1296" w:type="dxa"/>
            <w:tcBorders>
              <w:top w:val="nil"/>
              <w:left w:val="nil"/>
              <w:bottom w:val="nil"/>
              <w:right w:val="nil"/>
            </w:tcBorders>
          </w:tcPr>
          <w:p w:rsidR="005041D2" w:rsidRPr="001163D5" w:rsidRDefault="005041D2" w:rsidP="002B36D1">
            <w:pPr>
              <w:tabs>
                <w:tab w:val="decimal" w:pos="637"/>
              </w:tabs>
              <w:spacing w:line="240" w:lineRule="exact"/>
              <w:jc w:val="both"/>
              <w:rPr>
                <w:sz w:val="24"/>
                <w:szCs w:val="24"/>
              </w:rPr>
            </w:pP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sz w:val="24"/>
                <w:szCs w:val="24"/>
              </w:rPr>
            </w:pPr>
          </w:p>
        </w:tc>
        <w:tc>
          <w:tcPr>
            <w:tcW w:w="3330" w:type="dxa"/>
            <w:tcBorders>
              <w:top w:val="nil"/>
              <w:left w:val="nil"/>
              <w:bottom w:val="nil"/>
              <w:right w:val="nil"/>
            </w:tcBorders>
          </w:tcPr>
          <w:p w:rsidR="005041D2" w:rsidRPr="001163D5" w:rsidRDefault="005041D2" w:rsidP="002B36D1">
            <w:pPr>
              <w:spacing w:line="240" w:lineRule="exact"/>
              <w:jc w:val="both"/>
              <w:rPr>
                <w:sz w:val="24"/>
                <w:szCs w:val="24"/>
              </w:rPr>
            </w:pP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b/>
                <w:sz w:val="24"/>
                <w:szCs w:val="24"/>
              </w:rPr>
            </w:pPr>
            <w:r w:rsidRPr="001163D5">
              <w:rPr>
                <w:b/>
                <w:sz w:val="24"/>
                <w:szCs w:val="24"/>
              </w:rPr>
              <w:t>Fixed Income</w:t>
            </w:r>
          </w:p>
          <w:p w:rsidR="00314C80" w:rsidRPr="001163D5" w:rsidRDefault="00314C80" w:rsidP="002B36D1">
            <w:pPr>
              <w:spacing w:line="240" w:lineRule="exact"/>
              <w:jc w:val="both"/>
              <w:rPr>
                <w:sz w:val="24"/>
                <w:szCs w:val="24"/>
              </w:rPr>
            </w:pPr>
            <w:r w:rsidRPr="001163D5">
              <w:rPr>
                <w:b/>
                <w:sz w:val="24"/>
                <w:szCs w:val="24"/>
              </w:rPr>
              <w:t xml:space="preserve">  </w:t>
            </w:r>
            <w:r w:rsidRPr="001163D5">
              <w:rPr>
                <w:sz w:val="24"/>
                <w:szCs w:val="24"/>
              </w:rPr>
              <w:t>TIPS/Treasuries</w:t>
            </w:r>
          </w:p>
          <w:p w:rsidR="00314C80" w:rsidRPr="001163D5" w:rsidRDefault="00314C80" w:rsidP="002B36D1">
            <w:pPr>
              <w:spacing w:line="240" w:lineRule="exact"/>
              <w:jc w:val="both"/>
              <w:rPr>
                <w:sz w:val="24"/>
                <w:szCs w:val="24"/>
              </w:rPr>
            </w:pPr>
            <w:r w:rsidRPr="001163D5">
              <w:rPr>
                <w:sz w:val="24"/>
                <w:szCs w:val="24"/>
              </w:rPr>
              <w:t xml:space="preserve">  Global Multi-Sector</w:t>
            </w:r>
          </w:p>
        </w:tc>
        <w:tc>
          <w:tcPr>
            <w:tcW w:w="1296" w:type="dxa"/>
            <w:tcBorders>
              <w:top w:val="nil"/>
              <w:left w:val="nil"/>
              <w:bottom w:val="nil"/>
              <w:right w:val="nil"/>
            </w:tcBorders>
          </w:tcPr>
          <w:p w:rsidR="005041D2" w:rsidRPr="001163D5" w:rsidRDefault="00314C80" w:rsidP="002B36D1">
            <w:pPr>
              <w:tabs>
                <w:tab w:val="decimal" w:pos="637"/>
              </w:tabs>
              <w:spacing w:line="240" w:lineRule="exact"/>
              <w:jc w:val="both"/>
              <w:rPr>
                <w:b/>
                <w:sz w:val="24"/>
                <w:szCs w:val="24"/>
              </w:rPr>
            </w:pPr>
            <w:r w:rsidRPr="001163D5">
              <w:rPr>
                <w:b/>
                <w:sz w:val="24"/>
                <w:szCs w:val="24"/>
              </w:rPr>
              <w:t>15</w:t>
            </w:r>
          </w:p>
          <w:p w:rsidR="00314C80" w:rsidRPr="001163D5" w:rsidRDefault="00314C80" w:rsidP="002B36D1">
            <w:pPr>
              <w:tabs>
                <w:tab w:val="decimal" w:pos="637"/>
              </w:tabs>
              <w:spacing w:line="240" w:lineRule="exact"/>
              <w:jc w:val="both"/>
              <w:rPr>
                <w:b/>
                <w:sz w:val="24"/>
                <w:szCs w:val="24"/>
              </w:rPr>
            </w:pPr>
            <w:r w:rsidRPr="001163D5">
              <w:rPr>
                <w:b/>
                <w:sz w:val="24"/>
                <w:szCs w:val="24"/>
              </w:rPr>
              <w:t>8</w:t>
            </w:r>
          </w:p>
          <w:p w:rsidR="00314C80" w:rsidRPr="001163D5" w:rsidRDefault="00314C80" w:rsidP="002B36D1">
            <w:pPr>
              <w:tabs>
                <w:tab w:val="decimal" w:pos="637"/>
              </w:tabs>
              <w:spacing w:line="240" w:lineRule="exact"/>
              <w:jc w:val="both"/>
              <w:rPr>
                <w:b/>
                <w:sz w:val="24"/>
                <w:szCs w:val="24"/>
              </w:rPr>
            </w:pPr>
            <w:r w:rsidRPr="001163D5">
              <w:rPr>
                <w:b/>
                <w:sz w:val="24"/>
                <w:szCs w:val="24"/>
              </w:rPr>
              <w:t>7</w:t>
            </w:r>
          </w:p>
        </w:tc>
        <w:tc>
          <w:tcPr>
            <w:tcW w:w="1429" w:type="dxa"/>
            <w:tcBorders>
              <w:top w:val="nil"/>
              <w:left w:val="nil"/>
              <w:bottom w:val="nil"/>
              <w:right w:val="nil"/>
            </w:tcBorders>
          </w:tcPr>
          <w:p w:rsidR="005041D2" w:rsidRPr="001163D5" w:rsidRDefault="00314C80" w:rsidP="002B36D1">
            <w:pPr>
              <w:tabs>
                <w:tab w:val="decimal" w:pos="421"/>
              </w:tabs>
              <w:spacing w:line="240" w:lineRule="exact"/>
              <w:jc w:val="both"/>
              <w:rPr>
                <w:b/>
                <w:sz w:val="24"/>
                <w:szCs w:val="24"/>
              </w:rPr>
            </w:pPr>
            <w:r w:rsidRPr="001163D5">
              <w:rPr>
                <w:b/>
                <w:sz w:val="24"/>
                <w:szCs w:val="24"/>
              </w:rPr>
              <w:t>5 – 20</w:t>
            </w:r>
            <w:r w:rsidR="005041D2" w:rsidRPr="001163D5">
              <w:rPr>
                <w:b/>
                <w:sz w:val="24"/>
                <w:szCs w:val="24"/>
              </w:rPr>
              <w:t>%</w:t>
            </w:r>
          </w:p>
        </w:tc>
        <w:tc>
          <w:tcPr>
            <w:tcW w:w="3330" w:type="dxa"/>
            <w:tcBorders>
              <w:top w:val="nil"/>
              <w:left w:val="nil"/>
              <w:bottom w:val="nil"/>
              <w:right w:val="nil"/>
            </w:tcBorders>
          </w:tcPr>
          <w:p w:rsidR="00314C80" w:rsidRPr="001163D5" w:rsidRDefault="00314C80" w:rsidP="002B36D1">
            <w:pPr>
              <w:spacing w:line="240" w:lineRule="exact"/>
              <w:jc w:val="both"/>
              <w:rPr>
                <w:sz w:val="24"/>
                <w:szCs w:val="24"/>
              </w:rPr>
            </w:pPr>
          </w:p>
          <w:p w:rsidR="00314C80" w:rsidRPr="001163D5" w:rsidRDefault="00DC1446" w:rsidP="002B36D1">
            <w:pPr>
              <w:spacing w:line="240" w:lineRule="exact"/>
              <w:jc w:val="both"/>
              <w:rPr>
                <w:sz w:val="24"/>
                <w:szCs w:val="24"/>
              </w:rPr>
            </w:pPr>
            <w:r w:rsidRPr="001163D5">
              <w:rPr>
                <w:sz w:val="24"/>
                <w:szCs w:val="24"/>
              </w:rPr>
              <w:t>Based on Investment</w:t>
            </w:r>
          </w:p>
          <w:p w:rsidR="00314C80" w:rsidRPr="001163D5" w:rsidRDefault="00314C80" w:rsidP="002B36D1">
            <w:pPr>
              <w:spacing w:line="240" w:lineRule="exact"/>
              <w:jc w:val="both"/>
              <w:rPr>
                <w:sz w:val="24"/>
                <w:szCs w:val="24"/>
              </w:rPr>
            </w:pPr>
            <w:r w:rsidRPr="001163D5">
              <w:rPr>
                <w:sz w:val="24"/>
                <w:szCs w:val="24"/>
              </w:rPr>
              <w:t>Barclays Global Aggregate</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b/>
                <w:sz w:val="24"/>
                <w:szCs w:val="24"/>
              </w:rPr>
            </w:pPr>
          </w:p>
        </w:tc>
        <w:tc>
          <w:tcPr>
            <w:tcW w:w="1296" w:type="dxa"/>
            <w:tcBorders>
              <w:top w:val="nil"/>
              <w:left w:val="nil"/>
              <w:bottom w:val="nil"/>
              <w:right w:val="nil"/>
            </w:tcBorders>
          </w:tcPr>
          <w:p w:rsidR="005041D2" w:rsidRPr="001163D5" w:rsidRDefault="005041D2" w:rsidP="002B36D1">
            <w:pPr>
              <w:tabs>
                <w:tab w:val="decimal" w:pos="637"/>
              </w:tabs>
              <w:spacing w:line="240" w:lineRule="exact"/>
              <w:jc w:val="both"/>
              <w:rPr>
                <w:b/>
                <w:sz w:val="24"/>
                <w:szCs w:val="24"/>
              </w:rPr>
            </w:pP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b/>
                <w:sz w:val="24"/>
                <w:szCs w:val="24"/>
              </w:rPr>
            </w:pPr>
          </w:p>
        </w:tc>
        <w:tc>
          <w:tcPr>
            <w:tcW w:w="3330" w:type="dxa"/>
            <w:tcBorders>
              <w:top w:val="nil"/>
              <w:left w:val="nil"/>
              <w:bottom w:val="nil"/>
              <w:right w:val="nil"/>
            </w:tcBorders>
          </w:tcPr>
          <w:p w:rsidR="005041D2" w:rsidRPr="001163D5" w:rsidRDefault="005041D2" w:rsidP="002B36D1">
            <w:pPr>
              <w:spacing w:line="240" w:lineRule="exact"/>
              <w:jc w:val="both"/>
              <w:rPr>
                <w:sz w:val="24"/>
                <w:szCs w:val="24"/>
              </w:rPr>
            </w:pP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b/>
                <w:sz w:val="24"/>
                <w:szCs w:val="24"/>
              </w:rPr>
              <w:t>Alternative Assets</w:t>
            </w:r>
          </w:p>
        </w:tc>
        <w:tc>
          <w:tcPr>
            <w:tcW w:w="1296" w:type="dxa"/>
            <w:tcBorders>
              <w:top w:val="nil"/>
              <w:left w:val="nil"/>
              <w:bottom w:val="nil"/>
              <w:right w:val="nil"/>
            </w:tcBorders>
          </w:tcPr>
          <w:p w:rsidR="005041D2" w:rsidRPr="001163D5" w:rsidDel="0059271E" w:rsidRDefault="005041D2" w:rsidP="002B36D1">
            <w:pPr>
              <w:tabs>
                <w:tab w:val="decimal" w:pos="637"/>
              </w:tabs>
              <w:spacing w:line="240" w:lineRule="exact"/>
              <w:jc w:val="both"/>
              <w:rPr>
                <w:sz w:val="24"/>
                <w:szCs w:val="24"/>
              </w:rPr>
            </w:pPr>
            <w:r w:rsidRPr="001163D5">
              <w:rPr>
                <w:b/>
                <w:sz w:val="24"/>
                <w:szCs w:val="24"/>
              </w:rPr>
              <w:t xml:space="preserve">   </w:t>
            </w:r>
            <w:r w:rsidR="00DC1446" w:rsidRPr="001163D5">
              <w:rPr>
                <w:b/>
                <w:sz w:val="24"/>
                <w:szCs w:val="24"/>
              </w:rPr>
              <w:t>32</w:t>
            </w:r>
          </w:p>
        </w:tc>
        <w:tc>
          <w:tcPr>
            <w:tcW w:w="1429" w:type="dxa"/>
            <w:tcBorders>
              <w:top w:val="nil"/>
              <w:left w:val="nil"/>
              <w:bottom w:val="nil"/>
              <w:right w:val="nil"/>
            </w:tcBorders>
          </w:tcPr>
          <w:p w:rsidR="005041D2" w:rsidRPr="001163D5" w:rsidDel="0059271E" w:rsidRDefault="00E73BD1" w:rsidP="002B36D1">
            <w:pPr>
              <w:tabs>
                <w:tab w:val="decimal" w:pos="421"/>
              </w:tabs>
              <w:spacing w:line="240" w:lineRule="exact"/>
              <w:jc w:val="both"/>
              <w:rPr>
                <w:sz w:val="24"/>
                <w:szCs w:val="24"/>
              </w:rPr>
            </w:pPr>
            <w:r w:rsidRPr="001163D5">
              <w:rPr>
                <w:b/>
                <w:sz w:val="24"/>
                <w:szCs w:val="24"/>
              </w:rPr>
              <w:t>15</w:t>
            </w:r>
            <w:r w:rsidR="00F11F19" w:rsidRPr="001163D5">
              <w:rPr>
                <w:b/>
                <w:sz w:val="24"/>
                <w:szCs w:val="24"/>
              </w:rPr>
              <w:t xml:space="preserve"> – </w:t>
            </w:r>
            <w:r w:rsidR="00DC1446" w:rsidRPr="001163D5">
              <w:rPr>
                <w:b/>
                <w:sz w:val="24"/>
                <w:szCs w:val="24"/>
              </w:rPr>
              <w:t>48</w:t>
            </w:r>
            <w:r w:rsidR="005041D2" w:rsidRPr="001163D5">
              <w:rPr>
                <w:b/>
                <w:sz w:val="24"/>
                <w:szCs w:val="24"/>
              </w:rPr>
              <w:t>%</w:t>
            </w:r>
          </w:p>
        </w:tc>
        <w:tc>
          <w:tcPr>
            <w:tcW w:w="3330" w:type="dxa"/>
            <w:tcBorders>
              <w:top w:val="nil"/>
              <w:left w:val="nil"/>
              <w:bottom w:val="nil"/>
              <w:right w:val="nil"/>
            </w:tcBorders>
          </w:tcPr>
          <w:p w:rsidR="005041D2" w:rsidRPr="001163D5" w:rsidRDefault="005041D2" w:rsidP="002B36D1">
            <w:pPr>
              <w:spacing w:line="240" w:lineRule="exact"/>
              <w:jc w:val="both"/>
              <w:rPr>
                <w:sz w:val="24"/>
                <w:szCs w:val="24"/>
              </w:rPr>
            </w:pP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 xml:space="preserve">  Private Equity</w:t>
            </w:r>
          </w:p>
        </w:tc>
        <w:tc>
          <w:tcPr>
            <w:tcW w:w="1296" w:type="dxa"/>
            <w:tcBorders>
              <w:top w:val="nil"/>
              <w:left w:val="nil"/>
              <w:bottom w:val="nil"/>
              <w:right w:val="nil"/>
            </w:tcBorders>
          </w:tcPr>
          <w:p w:rsidR="005041D2" w:rsidRPr="001163D5" w:rsidRDefault="00DC1446" w:rsidP="002B36D1">
            <w:pPr>
              <w:tabs>
                <w:tab w:val="decimal" w:pos="637"/>
              </w:tabs>
              <w:spacing w:line="240" w:lineRule="exact"/>
              <w:jc w:val="both"/>
              <w:rPr>
                <w:sz w:val="24"/>
                <w:szCs w:val="24"/>
              </w:rPr>
            </w:pPr>
            <w:r w:rsidRPr="001163D5">
              <w:rPr>
                <w:sz w:val="24"/>
                <w:szCs w:val="24"/>
              </w:rPr>
              <w:t>10</w:t>
            </w:r>
            <w:r w:rsidR="005041D2" w:rsidRPr="001163D5">
              <w:rPr>
                <w:sz w:val="24"/>
                <w:szCs w:val="24"/>
              </w:rPr>
              <w:t xml:space="preserve"> </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sz w:val="24"/>
                <w:szCs w:val="24"/>
              </w:rPr>
            </w:pPr>
          </w:p>
        </w:tc>
        <w:tc>
          <w:tcPr>
            <w:tcW w:w="3330" w:type="dxa"/>
            <w:tcBorders>
              <w:top w:val="nil"/>
              <w:left w:val="nil"/>
              <w:bottom w:val="nil"/>
              <w:right w:val="nil"/>
            </w:tcBorders>
          </w:tcPr>
          <w:p w:rsidR="005041D2" w:rsidRPr="001163D5" w:rsidRDefault="000B51A5" w:rsidP="002B36D1">
            <w:pPr>
              <w:spacing w:line="240" w:lineRule="exact"/>
              <w:jc w:val="both"/>
              <w:rPr>
                <w:sz w:val="24"/>
                <w:szCs w:val="24"/>
              </w:rPr>
            </w:pPr>
            <w:r w:rsidRPr="001163D5">
              <w:rPr>
                <w:sz w:val="24"/>
                <w:szCs w:val="24"/>
              </w:rPr>
              <w:t>CA Global PE</w:t>
            </w:r>
            <w:r w:rsidR="005041D2" w:rsidRPr="001163D5">
              <w:rPr>
                <w:sz w:val="24"/>
                <w:szCs w:val="24"/>
              </w:rPr>
              <w:t xml:space="preserve"> </w:t>
            </w:r>
            <w:r w:rsidRPr="001163D5">
              <w:rPr>
                <w:sz w:val="24"/>
                <w:szCs w:val="24"/>
              </w:rPr>
              <w:t>(</w:t>
            </w:r>
            <w:r w:rsidR="005041D2" w:rsidRPr="001163D5">
              <w:rPr>
                <w:sz w:val="24"/>
                <w:szCs w:val="24"/>
              </w:rPr>
              <w:t>1 Qtr.Lag</w:t>
            </w:r>
            <w:r w:rsidRPr="001163D5">
              <w:rPr>
                <w:sz w:val="24"/>
                <w:szCs w:val="24"/>
              </w:rPr>
              <w:t>)</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 xml:space="preserve">  Hedge Funds</w:t>
            </w:r>
          </w:p>
        </w:tc>
        <w:tc>
          <w:tcPr>
            <w:tcW w:w="1296" w:type="dxa"/>
            <w:tcBorders>
              <w:top w:val="nil"/>
              <w:left w:val="nil"/>
              <w:bottom w:val="nil"/>
              <w:right w:val="nil"/>
            </w:tcBorders>
          </w:tcPr>
          <w:p w:rsidR="005041D2" w:rsidRPr="001163D5" w:rsidRDefault="00DC1446" w:rsidP="002B36D1">
            <w:pPr>
              <w:tabs>
                <w:tab w:val="decimal" w:pos="637"/>
              </w:tabs>
              <w:spacing w:line="240" w:lineRule="exact"/>
              <w:jc w:val="both"/>
              <w:rPr>
                <w:sz w:val="24"/>
                <w:szCs w:val="24"/>
              </w:rPr>
            </w:pPr>
            <w:r w:rsidRPr="001163D5">
              <w:rPr>
                <w:sz w:val="24"/>
                <w:szCs w:val="24"/>
              </w:rPr>
              <w:t>12</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sz w:val="24"/>
                <w:szCs w:val="24"/>
              </w:rPr>
            </w:pPr>
          </w:p>
        </w:tc>
        <w:tc>
          <w:tcPr>
            <w:tcW w:w="3330"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HFRI FOF Index</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sz w:val="24"/>
                <w:szCs w:val="24"/>
              </w:rPr>
            </w:pPr>
            <w:r w:rsidRPr="001163D5">
              <w:rPr>
                <w:sz w:val="24"/>
                <w:szCs w:val="24"/>
              </w:rPr>
              <w:t xml:space="preserve">  Real Assets</w:t>
            </w:r>
          </w:p>
        </w:tc>
        <w:tc>
          <w:tcPr>
            <w:tcW w:w="1296" w:type="dxa"/>
            <w:tcBorders>
              <w:top w:val="nil"/>
              <w:left w:val="nil"/>
              <w:bottom w:val="nil"/>
              <w:right w:val="nil"/>
            </w:tcBorders>
          </w:tcPr>
          <w:p w:rsidR="005041D2" w:rsidRPr="001163D5" w:rsidRDefault="00DC1446" w:rsidP="002B36D1">
            <w:pPr>
              <w:tabs>
                <w:tab w:val="decimal" w:pos="637"/>
              </w:tabs>
              <w:spacing w:line="240" w:lineRule="exact"/>
              <w:jc w:val="both"/>
              <w:rPr>
                <w:sz w:val="24"/>
                <w:szCs w:val="24"/>
              </w:rPr>
            </w:pPr>
            <w:r w:rsidRPr="001163D5">
              <w:rPr>
                <w:sz w:val="24"/>
                <w:szCs w:val="24"/>
              </w:rPr>
              <w:t>10</w:t>
            </w:r>
            <w:r w:rsidR="005041D2" w:rsidRPr="001163D5">
              <w:rPr>
                <w:sz w:val="24"/>
                <w:szCs w:val="24"/>
              </w:rPr>
              <w:t xml:space="preserve">         </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sz w:val="24"/>
                <w:szCs w:val="24"/>
              </w:rPr>
            </w:pPr>
          </w:p>
        </w:tc>
        <w:tc>
          <w:tcPr>
            <w:tcW w:w="3330" w:type="dxa"/>
            <w:tcBorders>
              <w:top w:val="nil"/>
              <w:left w:val="nil"/>
              <w:bottom w:val="nil"/>
              <w:right w:val="nil"/>
            </w:tcBorders>
          </w:tcPr>
          <w:p w:rsidR="005041D2" w:rsidRPr="001163D5" w:rsidRDefault="00DC1446" w:rsidP="002B36D1">
            <w:pPr>
              <w:spacing w:line="240" w:lineRule="exact"/>
              <w:jc w:val="both"/>
              <w:rPr>
                <w:sz w:val="24"/>
                <w:szCs w:val="24"/>
              </w:rPr>
            </w:pPr>
            <w:r w:rsidRPr="001163D5">
              <w:rPr>
                <w:sz w:val="24"/>
                <w:szCs w:val="24"/>
              </w:rPr>
              <w:t>Based</w:t>
            </w:r>
            <w:r w:rsidR="005041D2" w:rsidRPr="001163D5">
              <w:rPr>
                <w:sz w:val="24"/>
                <w:szCs w:val="24"/>
              </w:rPr>
              <w:t xml:space="preserve"> on Investment</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b/>
                <w:sz w:val="24"/>
                <w:szCs w:val="24"/>
              </w:rPr>
            </w:pPr>
          </w:p>
          <w:p w:rsidR="005041D2" w:rsidRPr="001163D5" w:rsidRDefault="005041D2" w:rsidP="002B36D1">
            <w:pPr>
              <w:spacing w:line="240" w:lineRule="exact"/>
              <w:jc w:val="both"/>
              <w:rPr>
                <w:b/>
                <w:sz w:val="24"/>
                <w:szCs w:val="24"/>
              </w:rPr>
            </w:pPr>
            <w:r w:rsidRPr="001163D5">
              <w:rPr>
                <w:b/>
                <w:sz w:val="24"/>
                <w:szCs w:val="24"/>
              </w:rPr>
              <w:t>Opportunistic</w:t>
            </w:r>
          </w:p>
          <w:p w:rsidR="005041D2" w:rsidRPr="001163D5" w:rsidRDefault="005041D2" w:rsidP="002B36D1">
            <w:pPr>
              <w:spacing w:line="240" w:lineRule="exact"/>
              <w:jc w:val="both"/>
              <w:rPr>
                <w:b/>
                <w:sz w:val="24"/>
                <w:szCs w:val="24"/>
              </w:rPr>
            </w:pPr>
          </w:p>
        </w:tc>
        <w:tc>
          <w:tcPr>
            <w:tcW w:w="1296" w:type="dxa"/>
            <w:tcBorders>
              <w:top w:val="nil"/>
              <w:left w:val="nil"/>
              <w:bottom w:val="nil"/>
              <w:right w:val="nil"/>
            </w:tcBorders>
          </w:tcPr>
          <w:p w:rsidR="005041D2" w:rsidRPr="001163D5" w:rsidRDefault="005041D2" w:rsidP="002B36D1">
            <w:pPr>
              <w:tabs>
                <w:tab w:val="decimal" w:pos="637"/>
              </w:tabs>
              <w:spacing w:line="240" w:lineRule="exact"/>
              <w:jc w:val="both"/>
              <w:rPr>
                <w:b/>
                <w:sz w:val="24"/>
                <w:szCs w:val="24"/>
              </w:rPr>
            </w:pPr>
          </w:p>
          <w:p w:rsidR="005041D2" w:rsidRPr="001163D5" w:rsidRDefault="005041D2" w:rsidP="002B36D1">
            <w:pPr>
              <w:tabs>
                <w:tab w:val="decimal" w:pos="637"/>
              </w:tabs>
              <w:spacing w:line="240" w:lineRule="exact"/>
              <w:jc w:val="both"/>
              <w:rPr>
                <w:b/>
                <w:sz w:val="24"/>
                <w:szCs w:val="24"/>
              </w:rPr>
            </w:pPr>
            <w:r w:rsidRPr="001163D5">
              <w:rPr>
                <w:b/>
                <w:sz w:val="24"/>
                <w:szCs w:val="24"/>
              </w:rPr>
              <w:t>0</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b/>
                <w:sz w:val="24"/>
                <w:szCs w:val="24"/>
              </w:rPr>
            </w:pPr>
          </w:p>
          <w:p w:rsidR="005041D2" w:rsidRPr="001163D5" w:rsidRDefault="005041D2" w:rsidP="002B36D1">
            <w:pPr>
              <w:tabs>
                <w:tab w:val="decimal" w:pos="421"/>
              </w:tabs>
              <w:spacing w:line="240" w:lineRule="exact"/>
              <w:jc w:val="both"/>
              <w:rPr>
                <w:b/>
                <w:sz w:val="24"/>
                <w:szCs w:val="24"/>
              </w:rPr>
            </w:pPr>
            <w:r w:rsidRPr="001163D5">
              <w:rPr>
                <w:b/>
                <w:sz w:val="24"/>
                <w:szCs w:val="24"/>
              </w:rPr>
              <w:t>0 – 10%</w:t>
            </w:r>
          </w:p>
        </w:tc>
        <w:tc>
          <w:tcPr>
            <w:tcW w:w="3330" w:type="dxa"/>
            <w:tcBorders>
              <w:top w:val="nil"/>
              <w:left w:val="nil"/>
              <w:bottom w:val="nil"/>
              <w:right w:val="nil"/>
            </w:tcBorders>
          </w:tcPr>
          <w:p w:rsidR="005041D2" w:rsidRPr="001163D5" w:rsidRDefault="005041D2" w:rsidP="002B36D1">
            <w:pPr>
              <w:spacing w:line="240" w:lineRule="exact"/>
              <w:jc w:val="both"/>
              <w:rPr>
                <w:b/>
                <w:sz w:val="24"/>
                <w:szCs w:val="24"/>
              </w:rPr>
            </w:pPr>
          </w:p>
          <w:p w:rsidR="005041D2" w:rsidRPr="001163D5" w:rsidRDefault="00DC1446" w:rsidP="002B36D1">
            <w:pPr>
              <w:spacing w:line="240" w:lineRule="exact"/>
              <w:jc w:val="both"/>
              <w:rPr>
                <w:sz w:val="24"/>
                <w:szCs w:val="24"/>
              </w:rPr>
            </w:pPr>
            <w:r w:rsidRPr="001163D5">
              <w:rPr>
                <w:sz w:val="24"/>
                <w:szCs w:val="24"/>
              </w:rPr>
              <w:t>Based</w:t>
            </w:r>
            <w:r w:rsidR="005041D2" w:rsidRPr="001163D5">
              <w:rPr>
                <w:sz w:val="24"/>
                <w:szCs w:val="24"/>
              </w:rPr>
              <w:t xml:space="preserve"> on Investment </w:t>
            </w:r>
          </w:p>
        </w:tc>
      </w:tr>
      <w:tr w:rsidR="005041D2" w:rsidRPr="001163D5" w:rsidTr="00A76B47">
        <w:tc>
          <w:tcPr>
            <w:tcW w:w="3413" w:type="dxa"/>
            <w:tcBorders>
              <w:top w:val="nil"/>
              <w:left w:val="nil"/>
              <w:bottom w:val="nil"/>
              <w:right w:val="nil"/>
            </w:tcBorders>
          </w:tcPr>
          <w:p w:rsidR="005041D2" w:rsidRPr="001163D5" w:rsidRDefault="005041D2" w:rsidP="002B36D1">
            <w:pPr>
              <w:spacing w:line="240" w:lineRule="exact"/>
              <w:jc w:val="both"/>
              <w:rPr>
                <w:b/>
                <w:sz w:val="24"/>
                <w:szCs w:val="24"/>
              </w:rPr>
            </w:pPr>
            <w:r w:rsidRPr="001163D5">
              <w:rPr>
                <w:b/>
                <w:sz w:val="24"/>
                <w:szCs w:val="24"/>
              </w:rPr>
              <w:t>Cash</w:t>
            </w:r>
          </w:p>
        </w:tc>
        <w:tc>
          <w:tcPr>
            <w:tcW w:w="1296" w:type="dxa"/>
            <w:tcBorders>
              <w:top w:val="nil"/>
              <w:left w:val="nil"/>
              <w:bottom w:val="nil"/>
              <w:right w:val="nil"/>
            </w:tcBorders>
          </w:tcPr>
          <w:p w:rsidR="005041D2" w:rsidRPr="001163D5" w:rsidRDefault="005041D2" w:rsidP="002B36D1">
            <w:pPr>
              <w:tabs>
                <w:tab w:val="decimal" w:pos="637"/>
              </w:tabs>
              <w:spacing w:line="240" w:lineRule="exact"/>
              <w:jc w:val="both"/>
              <w:rPr>
                <w:b/>
                <w:sz w:val="24"/>
                <w:szCs w:val="24"/>
              </w:rPr>
            </w:pPr>
            <w:r w:rsidRPr="001163D5">
              <w:rPr>
                <w:b/>
                <w:sz w:val="24"/>
                <w:szCs w:val="24"/>
              </w:rPr>
              <w:t>0</w:t>
            </w:r>
          </w:p>
        </w:tc>
        <w:tc>
          <w:tcPr>
            <w:tcW w:w="1429" w:type="dxa"/>
            <w:tcBorders>
              <w:top w:val="nil"/>
              <w:left w:val="nil"/>
              <w:bottom w:val="nil"/>
              <w:right w:val="nil"/>
            </w:tcBorders>
          </w:tcPr>
          <w:p w:rsidR="005041D2" w:rsidRPr="001163D5" w:rsidRDefault="005041D2" w:rsidP="002B36D1">
            <w:pPr>
              <w:tabs>
                <w:tab w:val="decimal" w:pos="421"/>
              </w:tabs>
              <w:spacing w:line="240" w:lineRule="exact"/>
              <w:jc w:val="both"/>
              <w:rPr>
                <w:b/>
                <w:sz w:val="24"/>
                <w:szCs w:val="24"/>
              </w:rPr>
            </w:pPr>
            <w:r w:rsidRPr="001163D5">
              <w:rPr>
                <w:b/>
                <w:sz w:val="24"/>
                <w:szCs w:val="24"/>
              </w:rPr>
              <w:t>0 – 10%</w:t>
            </w:r>
          </w:p>
        </w:tc>
        <w:tc>
          <w:tcPr>
            <w:tcW w:w="3330" w:type="dxa"/>
            <w:tcBorders>
              <w:top w:val="nil"/>
              <w:left w:val="nil"/>
              <w:bottom w:val="nil"/>
              <w:right w:val="nil"/>
            </w:tcBorders>
          </w:tcPr>
          <w:p w:rsidR="005041D2" w:rsidRPr="001163D5" w:rsidRDefault="005041D2" w:rsidP="002B36D1">
            <w:pPr>
              <w:spacing w:line="240" w:lineRule="exact"/>
              <w:jc w:val="both"/>
              <w:rPr>
                <w:b/>
                <w:sz w:val="24"/>
                <w:szCs w:val="24"/>
              </w:rPr>
            </w:pPr>
          </w:p>
        </w:tc>
      </w:tr>
      <w:tr w:rsidR="005041D2" w:rsidRPr="001163D5" w:rsidTr="00A76B47">
        <w:tc>
          <w:tcPr>
            <w:tcW w:w="3413" w:type="dxa"/>
            <w:tcBorders>
              <w:top w:val="nil"/>
              <w:left w:val="nil"/>
              <w:bottom w:val="single" w:sz="12" w:space="0" w:color="auto"/>
              <w:right w:val="nil"/>
            </w:tcBorders>
          </w:tcPr>
          <w:p w:rsidR="005041D2" w:rsidRPr="001163D5" w:rsidRDefault="005041D2" w:rsidP="002B36D1">
            <w:pPr>
              <w:spacing w:line="240" w:lineRule="exact"/>
              <w:jc w:val="both"/>
              <w:rPr>
                <w:b/>
                <w:sz w:val="24"/>
                <w:szCs w:val="24"/>
              </w:rPr>
            </w:pPr>
          </w:p>
        </w:tc>
        <w:tc>
          <w:tcPr>
            <w:tcW w:w="1296" w:type="dxa"/>
            <w:tcBorders>
              <w:top w:val="nil"/>
              <w:left w:val="nil"/>
              <w:bottom w:val="single" w:sz="12" w:space="0" w:color="auto"/>
              <w:right w:val="nil"/>
            </w:tcBorders>
          </w:tcPr>
          <w:p w:rsidR="005041D2" w:rsidRPr="001163D5" w:rsidRDefault="005041D2" w:rsidP="002B36D1">
            <w:pPr>
              <w:tabs>
                <w:tab w:val="decimal" w:pos="637"/>
              </w:tabs>
              <w:spacing w:line="240" w:lineRule="exact"/>
              <w:jc w:val="both"/>
              <w:rPr>
                <w:b/>
                <w:sz w:val="24"/>
                <w:szCs w:val="24"/>
              </w:rPr>
            </w:pPr>
          </w:p>
        </w:tc>
        <w:tc>
          <w:tcPr>
            <w:tcW w:w="1429" w:type="dxa"/>
            <w:tcBorders>
              <w:top w:val="nil"/>
              <w:left w:val="nil"/>
              <w:bottom w:val="single" w:sz="12" w:space="0" w:color="auto"/>
              <w:right w:val="nil"/>
            </w:tcBorders>
          </w:tcPr>
          <w:p w:rsidR="005041D2" w:rsidRPr="001163D5" w:rsidRDefault="005041D2" w:rsidP="002B36D1">
            <w:pPr>
              <w:tabs>
                <w:tab w:val="decimal" w:pos="421"/>
              </w:tabs>
              <w:spacing w:line="240" w:lineRule="exact"/>
              <w:jc w:val="both"/>
              <w:rPr>
                <w:b/>
                <w:sz w:val="24"/>
                <w:szCs w:val="24"/>
              </w:rPr>
            </w:pPr>
          </w:p>
        </w:tc>
        <w:tc>
          <w:tcPr>
            <w:tcW w:w="3330" w:type="dxa"/>
            <w:tcBorders>
              <w:top w:val="nil"/>
              <w:left w:val="nil"/>
              <w:bottom w:val="single" w:sz="12" w:space="0" w:color="auto"/>
              <w:right w:val="nil"/>
            </w:tcBorders>
          </w:tcPr>
          <w:p w:rsidR="005041D2" w:rsidRPr="001163D5" w:rsidRDefault="005041D2" w:rsidP="002B36D1">
            <w:pPr>
              <w:spacing w:line="240" w:lineRule="exact"/>
              <w:jc w:val="both"/>
              <w:rPr>
                <w:b/>
                <w:sz w:val="24"/>
                <w:szCs w:val="24"/>
              </w:rPr>
            </w:pPr>
          </w:p>
        </w:tc>
      </w:tr>
    </w:tbl>
    <w:p w:rsidR="005041D2" w:rsidRPr="001163D5" w:rsidRDefault="005041D2" w:rsidP="002B36D1">
      <w:pPr>
        <w:jc w:val="both"/>
        <w:rPr>
          <w:sz w:val="24"/>
          <w:szCs w:val="24"/>
        </w:rPr>
      </w:pPr>
    </w:p>
    <w:p w:rsidR="005041D2" w:rsidRPr="001163D5" w:rsidRDefault="005041D2" w:rsidP="002B36D1">
      <w:pPr>
        <w:spacing w:line="240" w:lineRule="exact"/>
        <w:jc w:val="both"/>
        <w:rPr>
          <w:sz w:val="24"/>
          <w:szCs w:val="24"/>
        </w:rPr>
      </w:pPr>
      <w:r w:rsidRPr="001163D5">
        <w:rPr>
          <w:sz w:val="24"/>
          <w:szCs w:val="24"/>
        </w:rPr>
        <w:t xml:space="preserve">The Fund’s Policy Index is a custom benchmark designed to indicate the returns that a passive investor would earn by consistently following the asset allocation targets set forth in this investment policy statement.  It is useful in separating the impact of investment policy from execution of the investment strategy in evaluating the performance of the Fund’s investment program.  </w:t>
      </w:r>
    </w:p>
    <w:p w:rsidR="005041D2" w:rsidRPr="001163D5" w:rsidRDefault="005041D2" w:rsidP="002B36D1">
      <w:pPr>
        <w:spacing w:line="240" w:lineRule="exact"/>
        <w:jc w:val="both"/>
        <w:rPr>
          <w:sz w:val="24"/>
          <w:szCs w:val="24"/>
        </w:rPr>
      </w:pPr>
    </w:p>
    <w:p w:rsidR="005041D2" w:rsidRPr="005041D2" w:rsidRDefault="005041D2" w:rsidP="002B36D1">
      <w:pPr>
        <w:spacing w:line="240" w:lineRule="exact"/>
        <w:jc w:val="both"/>
        <w:rPr>
          <w:sz w:val="24"/>
          <w:szCs w:val="24"/>
        </w:rPr>
      </w:pPr>
      <w:r w:rsidRPr="001163D5">
        <w:rPr>
          <w:sz w:val="24"/>
          <w:szCs w:val="24"/>
        </w:rPr>
        <w:t>The Policy Index is calculated by multiplying the target commitment to each asset class by the rate of return of the appropriate market index, as listed above, on a monthly basis.</w:t>
      </w:r>
      <w:r w:rsidRPr="005041D2">
        <w:rPr>
          <w:sz w:val="24"/>
          <w:szCs w:val="24"/>
        </w:rPr>
        <w:t xml:space="preserve"> </w:t>
      </w:r>
    </w:p>
    <w:p w:rsidR="005041D2" w:rsidRDefault="005041D2" w:rsidP="002B36D1">
      <w:pPr>
        <w:jc w:val="both"/>
        <w:rPr>
          <w:rFonts w:ascii="Arial" w:hAnsi="Arial" w:cs="Arial"/>
        </w:rPr>
      </w:pPr>
    </w:p>
    <w:sectPr w:rsidR="005041D2">
      <w:headerReference w:type="even" r:id="rId8"/>
      <w:footerReference w:type="even" r:id="rId9"/>
      <w:footerReference w:type="default" r:id="rId10"/>
      <w:footerReference w:type="first" r:id="rId11"/>
      <w:pgSz w:w="12240" w:h="15840" w:code="1"/>
      <w:pgMar w:top="1296" w:right="1440" w:bottom="706" w:left="252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D9" w:rsidRDefault="008047D9">
      <w:r>
        <w:separator/>
      </w:r>
    </w:p>
  </w:endnote>
  <w:endnote w:type="continuationSeparator" w:id="0">
    <w:p w:rsidR="008047D9" w:rsidRDefault="0080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1B" w:rsidRPr="00004704" w:rsidRDefault="0076001B">
    <w:pPr>
      <w:pStyle w:val="Footer"/>
      <w:framePr w:wrap="around" w:vAnchor="text" w:hAnchor="margin" w:xAlign="center" w:y="1"/>
      <w:rPr>
        <w:rStyle w:val="PageNumber"/>
        <w:sz w:val="19"/>
        <w:szCs w:val="19"/>
      </w:rPr>
    </w:pPr>
    <w:r w:rsidRPr="00004704">
      <w:rPr>
        <w:rStyle w:val="PageNumber"/>
        <w:sz w:val="19"/>
        <w:szCs w:val="19"/>
      </w:rPr>
      <w:fldChar w:fldCharType="begin"/>
    </w:r>
    <w:r w:rsidRPr="00004704">
      <w:rPr>
        <w:rStyle w:val="PageNumber"/>
        <w:sz w:val="19"/>
        <w:szCs w:val="19"/>
      </w:rPr>
      <w:instrText xml:space="preserve">PAGE  </w:instrText>
    </w:r>
    <w:r w:rsidRPr="00004704">
      <w:rPr>
        <w:rStyle w:val="PageNumber"/>
        <w:sz w:val="19"/>
        <w:szCs w:val="19"/>
      </w:rPr>
      <w:fldChar w:fldCharType="separate"/>
    </w:r>
    <w:r w:rsidRPr="00004704">
      <w:rPr>
        <w:rStyle w:val="PageNumber"/>
        <w:noProof/>
        <w:sz w:val="19"/>
        <w:szCs w:val="19"/>
      </w:rPr>
      <w:t>1</w:t>
    </w:r>
    <w:r w:rsidRPr="00004704">
      <w:rPr>
        <w:rStyle w:val="PageNumber"/>
        <w:sz w:val="19"/>
        <w:szCs w:val="19"/>
      </w:rPr>
      <w:fldChar w:fldCharType="end"/>
    </w:r>
  </w:p>
  <w:p w:rsidR="0076001B" w:rsidRPr="00004704" w:rsidRDefault="0076001B">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67" w:rsidRDefault="003D6B67">
    <w:pPr>
      <w:pStyle w:val="Footer"/>
      <w:jc w:val="right"/>
    </w:pPr>
    <w:r>
      <w:fldChar w:fldCharType="begin"/>
    </w:r>
    <w:r>
      <w:instrText xml:space="preserve"> PAGE   \* MERGEFORMAT </w:instrText>
    </w:r>
    <w:r>
      <w:fldChar w:fldCharType="separate"/>
    </w:r>
    <w:r w:rsidR="002B36D1">
      <w:rPr>
        <w:noProof/>
      </w:rPr>
      <w:t>6</w:t>
    </w:r>
    <w:r>
      <w:rPr>
        <w:noProof/>
      </w:rPr>
      <w:fldChar w:fldCharType="end"/>
    </w:r>
  </w:p>
  <w:p w:rsidR="0076001B" w:rsidRPr="00004704" w:rsidRDefault="007600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1B" w:rsidRPr="00004704" w:rsidRDefault="009A586F">
    <w:pPr>
      <w:pStyle w:val="Footer"/>
      <w:jc w:val="right"/>
      <w:rPr>
        <w:sz w:val="15"/>
        <w:szCs w:val="15"/>
      </w:rPr>
    </w:pPr>
    <w:r>
      <w:rPr>
        <w:sz w:val="15"/>
        <w:szCs w:val="15"/>
      </w:rPr>
      <w:t xml:space="preserve">Approved by </w:t>
    </w:r>
    <w:r w:rsidR="002B36D1">
      <w:rPr>
        <w:sz w:val="15"/>
        <w:szCs w:val="15"/>
      </w:rPr>
      <w:t>the</w:t>
    </w:r>
    <w:r w:rsidR="0076001B">
      <w:rPr>
        <w:sz w:val="15"/>
        <w:szCs w:val="15"/>
      </w:rPr>
      <w:t xml:space="preserve"> Board of Directors</w:t>
    </w:r>
    <w:r w:rsidR="0076001B" w:rsidRPr="00004704">
      <w:rPr>
        <w:sz w:val="15"/>
        <w:szCs w:val="15"/>
      </w:rPr>
      <w:t xml:space="preserve"> </w:t>
    </w:r>
    <w:r w:rsidR="002B36D1">
      <w:rPr>
        <w:sz w:val="15"/>
        <w:szCs w:val="15"/>
      </w:rPr>
      <w:t>10 5 2016</w:t>
    </w:r>
  </w:p>
  <w:p w:rsidR="0076001B" w:rsidRPr="00004704" w:rsidRDefault="0076001B">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D9" w:rsidRDefault="008047D9">
      <w:r>
        <w:separator/>
      </w:r>
    </w:p>
  </w:footnote>
  <w:footnote w:type="continuationSeparator" w:id="0">
    <w:p w:rsidR="008047D9" w:rsidRDefault="0080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1B" w:rsidRPr="00004704" w:rsidRDefault="0076001B">
    <w:pPr>
      <w:pStyle w:val="Header"/>
      <w:framePr w:wrap="around" w:vAnchor="text" w:hAnchor="margin" w:xAlign="center" w:y="1"/>
      <w:rPr>
        <w:rStyle w:val="PageNumber"/>
        <w:sz w:val="19"/>
        <w:szCs w:val="19"/>
      </w:rPr>
    </w:pPr>
    <w:r w:rsidRPr="00004704">
      <w:rPr>
        <w:rStyle w:val="PageNumber"/>
        <w:sz w:val="19"/>
        <w:szCs w:val="19"/>
      </w:rPr>
      <w:fldChar w:fldCharType="begin"/>
    </w:r>
    <w:r w:rsidRPr="00004704">
      <w:rPr>
        <w:rStyle w:val="PageNumber"/>
        <w:sz w:val="19"/>
        <w:szCs w:val="19"/>
      </w:rPr>
      <w:instrText xml:space="preserve">PAGE  </w:instrText>
    </w:r>
    <w:r w:rsidRPr="00004704">
      <w:rPr>
        <w:rStyle w:val="PageNumber"/>
        <w:sz w:val="19"/>
        <w:szCs w:val="19"/>
      </w:rPr>
      <w:fldChar w:fldCharType="end"/>
    </w:r>
  </w:p>
  <w:p w:rsidR="0076001B" w:rsidRPr="00004704" w:rsidRDefault="0076001B">
    <w:pPr>
      <w:pStyle w:val="Head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D41CE3"/>
    <w:multiLevelType w:val="singleLevel"/>
    <w:tmpl w:val="E618D4A2"/>
    <w:lvl w:ilvl="0">
      <w:start w:val="1"/>
      <w:numFmt w:val="lowerLetter"/>
      <w:lvlText w:val="%1."/>
      <w:lvlJc w:val="left"/>
      <w:pPr>
        <w:tabs>
          <w:tab w:val="num" w:pos="360"/>
        </w:tabs>
        <w:ind w:left="360" w:hanging="360"/>
      </w:pPr>
    </w:lvl>
  </w:abstractNum>
  <w:abstractNum w:abstractNumId="2" w15:restartNumberingAfterBreak="0">
    <w:nsid w:val="03D47D15"/>
    <w:multiLevelType w:val="singleLevel"/>
    <w:tmpl w:val="0D20DBBA"/>
    <w:lvl w:ilvl="0">
      <w:start w:val="2"/>
      <w:numFmt w:val="decimal"/>
      <w:lvlText w:val="%1."/>
      <w:lvlJc w:val="left"/>
      <w:pPr>
        <w:tabs>
          <w:tab w:val="num" w:pos="360"/>
        </w:tabs>
        <w:ind w:left="360" w:hanging="360"/>
      </w:pPr>
    </w:lvl>
  </w:abstractNum>
  <w:abstractNum w:abstractNumId="3" w15:restartNumberingAfterBreak="0">
    <w:nsid w:val="05B35B5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633529"/>
    <w:multiLevelType w:val="hybridMultilevel"/>
    <w:tmpl w:val="3AEE4222"/>
    <w:lvl w:ilvl="0" w:tplc="642C5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05E78"/>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0E3A6721"/>
    <w:multiLevelType w:val="singleLevel"/>
    <w:tmpl w:val="E618D4A2"/>
    <w:lvl w:ilvl="0">
      <w:start w:val="1"/>
      <w:numFmt w:val="lowerLetter"/>
      <w:lvlText w:val="%1."/>
      <w:lvlJc w:val="left"/>
      <w:pPr>
        <w:tabs>
          <w:tab w:val="num" w:pos="360"/>
        </w:tabs>
        <w:ind w:left="360" w:hanging="360"/>
      </w:pPr>
    </w:lvl>
  </w:abstractNum>
  <w:abstractNum w:abstractNumId="7" w15:restartNumberingAfterBreak="0">
    <w:nsid w:val="1345719D"/>
    <w:multiLevelType w:val="hybridMultilevel"/>
    <w:tmpl w:val="9D4E3804"/>
    <w:lvl w:ilvl="0" w:tplc="122C72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A4104"/>
    <w:multiLevelType w:val="hybridMultilevel"/>
    <w:tmpl w:val="10087B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46703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B54C25"/>
    <w:multiLevelType w:val="singleLevel"/>
    <w:tmpl w:val="E618D4A2"/>
    <w:lvl w:ilvl="0">
      <w:start w:val="1"/>
      <w:numFmt w:val="lowerLetter"/>
      <w:lvlText w:val="%1."/>
      <w:lvlJc w:val="left"/>
      <w:pPr>
        <w:tabs>
          <w:tab w:val="num" w:pos="360"/>
        </w:tabs>
        <w:ind w:left="360" w:hanging="360"/>
      </w:pPr>
    </w:lvl>
  </w:abstractNum>
  <w:abstractNum w:abstractNumId="11" w15:restartNumberingAfterBreak="0">
    <w:nsid w:val="1B8C11C6"/>
    <w:multiLevelType w:val="hybridMultilevel"/>
    <w:tmpl w:val="0CB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D189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F4268DC"/>
    <w:multiLevelType w:val="hybridMultilevel"/>
    <w:tmpl w:val="109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26981"/>
    <w:multiLevelType w:val="hybridMultilevel"/>
    <w:tmpl w:val="CFF80CE2"/>
    <w:lvl w:ilvl="0" w:tplc="122C72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464A3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85F11BF"/>
    <w:multiLevelType w:val="hybridMultilevel"/>
    <w:tmpl w:val="FE742F3A"/>
    <w:lvl w:ilvl="0" w:tplc="122C72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B4AF7"/>
    <w:multiLevelType w:val="hybridMultilevel"/>
    <w:tmpl w:val="618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56A72"/>
    <w:multiLevelType w:val="hybridMultilevel"/>
    <w:tmpl w:val="0CFC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C40E9"/>
    <w:multiLevelType w:val="hybridMultilevel"/>
    <w:tmpl w:val="D00E3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A2AE6"/>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3492755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7B1306A"/>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406358E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2E20A25"/>
    <w:multiLevelType w:val="hybridMultilevel"/>
    <w:tmpl w:val="6C0EEAD8"/>
    <w:lvl w:ilvl="0" w:tplc="122C72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8063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736B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D544C8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DB56B2B"/>
    <w:multiLevelType w:val="hybridMultilevel"/>
    <w:tmpl w:val="59964ABE"/>
    <w:lvl w:ilvl="0" w:tplc="04090011">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535A7A8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5D51FA4"/>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68A2203"/>
    <w:multiLevelType w:val="hybridMultilevel"/>
    <w:tmpl w:val="16D403D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576332AB"/>
    <w:multiLevelType w:val="singleLevel"/>
    <w:tmpl w:val="E618D4A2"/>
    <w:lvl w:ilvl="0">
      <w:start w:val="1"/>
      <w:numFmt w:val="lowerLetter"/>
      <w:lvlText w:val="%1."/>
      <w:lvlJc w:val="left"/>
      <w:pPr>
        <w:tabs>
          <w:tab w:val="num" w:pos="360"/>
        </w:tabs>
        <w:ind w:left="360" w:hanging="360"/>
      </w:pPr>
    </w:lvl>
  </w:abstractNum>
  <w:abstractNum w:abstractNumId="33" w15:restartNumberingAfterBreak="0">
    <w:nsid w:val="57D7099A"/>
    <w:multiLevelType w:val="hybridMultilevel"/>
    <w:tmpl w:val="FB5A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6106F"/>
    <w:multiLevelType w:val="singleLevel"/>
    <w:tmpl w:val="8F26261A"/>
    <w:lvl w:ilvl="0">
      <w:start w:val="1"/>
      <w:numFmt w:val="bullet"/>
      <w:lvlText w:val=""/>
      <w:lvlJc w:val="left"/>
      <w:pPr>
        <w:tabs>
          <w:tab w:val="num" w:pos="360"/>
        </w:tabs>
        <w:ind w:left="360" w:hanging="360"/>
      </w:pPr>
      <w:rPr>
        <w:rFonts w:ascii="Symbol" w:hAnsi="Symbol" w:hint="default"/>
        <w:b w:val="0"/>
        <w:i w:val="0"/>
        <w:color w:val="003399"/>
        <w:sz w:val="26"/>
      </w:rPr>
    </w:lvl>
  </w:abstractNum>
  <w:abstractNum w:abstractNumId="35" w15:restartNumberingAfterBreak="0">
    <w:nsid w:val="5D221A2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11E0AB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284243D"/>
    <w:multiLevelType w:val="singleLevel"/>
    <w:tmpl w:val="E618D4A2"/>
    <w:lvl w:ilvl="0">
      <w:start w:val="1"/>
      <w:numFmt w:val="lowerLetter"/>
      <w:lvlText w:val="%1."/>
      <w:lvlJc w:val="left"/>
      <w:pPr>
        <w:tabs>
          <w:tab w:val="num" w:pos="360"/>
        </w:tabs>
        <w:ind w:left="360" w:hanging="360"/>
      </w:pPr>
    </w:lvl>
  </w:abstractNum>
  <w:abstractNum w:abstractNumId="38" w15:restartNumberingAfterBreak="0">
    <w:nsid w:val="647A69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9C13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50E13A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53619B3"/>
    <w:multiLevelType w:val="singleLevel"/>
    <w:tmpl w:val="05ACEB62"/>
    <w:lvl w:ilvl="0">
      <w:start w:val="1"/>
      <w:numFmt w:val="decimal"/>
      <w:lvlText w:val="%1."/>
      <w:lvlJc w:val="left"/>
      <w:pPr>
        <w:tabs>
          <w:tab w:val="num" w:pos="360"/>
        </w:tabs>
        <w:ind w:left="360" w:hanging="360"/>
      </w:pPr>
    </w:lvl>
  </w:abstractNum>
  <w:abstractNum w:abstractNumId="42" w15:restartNumberingAfterBreak="0">
    <w:nsid w:val="677005E5"/>
    <w:multiLevelType w:val="singleLevel"/>
    <w:tmpl w:val="E618D4A2"/>
    <w:lvl w:ilvl="0">
      <w:start w:val="1"/>
      <w:numFmt w:val="lowerLetter"/>
      <w:lvlText w:val="%1."/>
      <w:lvlJc w:val="left"/>
      <w:pPr>
        <w:tabs>
          <w:tab w:val="num" w:pos="360"/>
        </w:tabs>
        <w:ind w:left="360" w:hanging="360"/>
      </w:pPr>
    </w:lvl>
  </w:abstractNum>
  <w:abstractNum w:abstractNumId="43" w15:restartNumberingAfterBreak="0">
    <w:nsid w:val="6C1A777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C5412A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02D456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9C66F46"/>
    <w:multiLevelType w:val="singleLevel"/>
    <w:tmpl w:val="E618D4A2"/>
    <w:lvl w:ilvl="0">
      <w:start w:val="1"/>
      <w:numFmt w:val="lowerLetter"/>
      <w:lvlText w:val="%1."/>
      <w:lvlJc w:val="left"/>
      <w:pPr>
        <w:tabs>
          <w:tab w:val="num" w:pos="360"/>
        </w:tabs>
        <w:ind w:left="360" w:hanging="360"/>
      </w:pPr>
    </w:lvl>
  </w:abstractNum>
  <w:abstractNum w:abstractNumId="47" w15:restartNumberingAfterBreak="0">
    <w:nsid w:val="7B7174EC"/>
    <w:multiLevelType w:val="hybridMultilevel"/>
    <w:tmpl w:val="A080F9FA"/>
    <w:lvl w:ilvl="0" w:tplc="138C2B7E">
      <w:start w:val="7"/>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38"/>
  </w:num>
  <w:num w:numId="4">
    <w:abstractNumId w:val="2"/>
  </w:num>
  <w:num w:numId="5">
    <w:abstractNumId w:val="37"/>
  </w:num>
  <w:num w:numId="6">
    <w:abstractNumId w:val="1"/>
  </w:num>
  <w:num w:numId="7">
    <w:abstractNumId w:val="42"/>
  </w:num>
  <w:num w:numId="8">
    <w:abstractNumId w:val="32"/>
  </w:num>
  <w:num w:numId="9">
    <w:abstractNumId w:val="46"/>
  </w:num>
  <w:num w:numId="10">
    <w:abstractNumId w:val="6"/>
  </w:num>
  <w:num w:numId="11">
    <w:abstractNumId w:val="22"/>
  </w:num>
  <w:num w:numId="12">
    <w:abstractNumId w:val="5"/>
  </w:num>
  <w:num w:numId="13">
    <w:abstractNumId w:val="39"/>
  </w:num>
  <w:num w:numId="14">
    <w:abstractNumId w:val="45"/>
  </w:num>
  <w:num w:numId="15">
    <w:abstractNumId w:val="25"/>
  </w:num>
  <w:num w:numId="16">
    <w:abstractNumId w:val="40"/>
  </w:num>
  <w:num w:numId="17">
    <w:abstractNumId w:val="36"/>
  </w:num>
  <w:num w:numId="18">
    <w:abstractNumId w:val="35"/>
  </w:num>
  <w:num w:numId="19">
    <w:abstractNumId w:val="0"/>
  </w:num>
  <w:num w:numId="20">
    <w:abstractNumId w:val="44"/>
  </w:num>
  <w:num w:numId="21">
    <w:abstractNumId w:val="27"/>
  </w:num>
  <w:num w:numId="22">
    <w:abstractNumId w:val="29"/>
  </w:num>
  <w:num w:numId="23">
    <w:abstractNumId w:val="15"/>
  </w:num>
  <w:num w:numId="24">
    <w:abstractNumId w:val="12"/>
  </w:num>
  <w:num w:numId="25">
    <w:abstractNumId w:val="23"/>
  </w:num>
  <w:num w:numId="26">
    <w:abstractNumId w:val="21"/>
  </w:num>
  <w:num w:numId="27">
    <w:abstractNumId w:val="43"/>
  </w:num>
  <w:num w:numId="28">
    <w:abstractNumId w:val="26"/>
  </w:num>
  <w:num w:numId="29">
    <w:abstractNumId w:val="9"/>
  </w:num>
  <w:num w:numId="30">
    <w:abstractNumId w:val="20"/>
  </w:num>
  <w:num w:numId="31">
    <w:abstractNumId w:val="28"/>
  </w:num>
  <w:num w:numId="32">
    <w:abstractNumId w:val="31"/>
  </w:num>
  <w:num w:numId="33">
    <w:abstractNumId w:val="34"/>
  </w:num>
  <w:num w:numId="34">
    <w:abstractNumId w:val="4"/>
  </w:num>
  <w:num w:numId="35">
    <w:abstractNumId w:val="17"/>
  </w:num>
  <w:num w:numId="36">
    <w:abstractNumId w:val="18"/>
  </w:num>
  <w:num w:numId="37">
    <w:abstractNumId w:val="13"/>
  </w:num>
  <w:num w:numId="38">
    <w:abstractNumId w:val="33"/>
  </w:num>
  <w:num w:numId="39">
    <w:abstractNumId w:val="11"/>
  </w:num>
  <w:num w:numId="40">
    <w:abstractNumId w:val="16"/>
  </w:num>
  <w:num w:numId="41">
    <w:abstractNumId w:val="7"/>
  </w:num>
  <w:num w:numId="42">
    <w:abstractNumId w:val="41"/>
  </w:num>
  <w:num w:numId="43">
    <w:abstractNumId w:val="8"/>
  </w:num>
  <w:num w:numId="44">
    <w:abstractNumId w:val="3"/>
  </w:num>
  <w:num w:numId="45">
    <w:abstractNumId w:val="19"/>
  </w:num>
  <w:num w:numId="46">
    <w:abstractNumId w:val="14"/>
  </w:num>
  <w:num w:numId="47">
    <w:abstractNumId w:val="2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7"/>
    <w:rsid w:val="000210D3"/>
    <w:rsid w:val="00032513"/>
    <w:rsid w:val="000B51A5"/>
    <w:rsid w:val="001163D5"/>
    <w:rsid w:val="001262B3"/>
    <w:rsid w:val="00162240"/>
    <w:rsid w:val="001C2EFF"/>
    <w:rsid w:val="00217569"/>
    <w:rsid w:val="00221525"/>
    <w:rsid w:val="00247B6B"/>
    <w:rsid w:val="002B1482"/>
    <w:rsid w:val="002B36D1"/>
    <w:rsid w:val="002C2AF7"/>
    <w:rsid w:val="00314C80"/>
    <w:rsid w:val="00323E47"/>
    <w:rsid w:val="0033115A"/>
    <w:rsid w:val="003772D7"/>
    <w:rsid w:val="0039537F"/>
    <w:rsid w:val="003D6B67"/>
    <w:rsid w:val="00434C46"/>
    <w:rsid w:val="00461778"/>
    <w:rsid w:val="004F5868"/>
    <w:rsid w:val="004F6170"/>
    <w:rsid w:val="005041D2"/>
    <w:rsid w:val="00512B6A"/>
    <w:rsid w:val="00541551"/>
    <w:rsid w:val="005D7817"/>
    <w:rsid w:val="00613465"/>
    <w:rsid w:val="00616D6B"/>
    <w:rsid w:val="00620F91"/>
    <w:rsid w:val="006C575E"/>
    <w:rsid w:val="0076001B"/>
    <w:rsid w:val="007B0A85"/>
    <w:rsid w:val="008047D9"/>
    <w:rsid w:val="008A3316"/>
    <w:rsid w:val="008C20B4"/>
    <w:rsid w:val="009938EC"/>
    <w:rsid w:val="00997247"/>
    <w:rsid w:val="009A586F"/>
    <w:rsid w:val="00A7086C"/>
    <w:rsid w:val="00A8652B"/>
    <w:rsid w:val="00AB23A4"/>
    <w:rsid w:val="00BB390F"/>
    <w:rsid w:val="00BC0681"/>
    <w:rsid w:val="00C00703"/>
    <w:rsid w:val="00C00956"/>
    <w:rsid w:val="00C43079"/>
    <w:rsid w:val="00C44BFE"/>
    <w:rsid w:val="00DC1446"/>
    <w:rsid w:val="00E0569E"/>
    <w:rsid w:val="00E470E3"/>
    <w:rsid w:val="00E71A3E"/>
    <w:rsid w:val="00E73BD1"/>
    <w:rsid w:val="00EF09EA"/>
    <w:rsid w:val="00F11F19"/>
    <w:rsid w:val="00F15309"/>
    <w:rsid w:val="00F80667"/>
    <w:rsid w:val="00FB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F18DB74"/>
  <w15:docId w15:val="{B784FC48-C9A2-4868-B899-97995676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041D2"/>
    <w:pPr>
      <w:keepNext/>
      <w:widowControl w:val="0"/>
      <w:ind w:firstLine="36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C0681"/>
    <w:pPr>
      <w:ind w:left="720"/>
    </w:pPr>
  </w:style>
  <w:style w:type="character" w:customStyle="1" w:styleId="FooterChar">
    <w:name w:val="Footer Char"/>
    <w:link w:val="Footer"/>
    <w:uiPriority w:val="99"/>
    <w:rsid w:val="003D6B67"/>
  </w:style>
  <w:style w:type="paragraph" w:styleId="Revision">
    <w:name w:val="Revision"/>
    <w:hidden/>
    <w:uiPriority w:val="99"/>
    <w:semiHidden/>
    <w:rsid w:val="00E0569E"/>
  </w:style>
  <w:style w:type="character" w:styleId="CommentReference">
    <w:name w:val="annotation reference"/>
    <w:rsid w:val="00162240"/>
    <w:rPr>
      <w:sz w:val="16"/>
      <w:szCs w:val="16"/>
    </w:rPr>
  </w:style>
  <w:style w:type="paragraph" w:styleId="CommentText">
    <w:name w:val="annotation text"/>
    <w:basedOn w:val="Normal"/>
    <w:link w:val="CommentTextChar"/>
    <w:rsid w:val="00162240"/>
    <w:pPr>
      <w:widowControl w:val="0"/>
    </w:pPr>
  </w:style>
  <w:style w:type="character" w:customStyle="1" w:styleId="CommentTextChar">
    <w:name w:val="Comment Text Char"/>
    <w:basedOn w:val="DefaultParagraphFont"/>
    <w:link w:val="CommentText"/>
    <w:rsid w:val="00162240"/>
  </w:style>
  <w:style w:type="paragraph" w:styleId="CommentSubject">
    <w:name w:val="annotation subject"/>
    <w:basedOn w:val="CommentText"/>
    <w:next w:val="CommentText"/>
    <w:link w:val="CommentSubjectChar"/>
    <w:uiPriority w:val="99"/>
    <w:semiHidden/>
    <w:unhideWhenUsed/>
    <w:rsid w:val="00613465"/>
    <w:pPr>
      <w:widowControl/>
    </w:pPr>
    <w:rPr>
      <w:b/>
      <w:bCs/>
    </w:rPr>
  </w:style>
  <w:style w:type="character" w:customStyle="1" w:styleId="CommentSubjectChar">
    <w:name w:val="Comment Subject Char"/>
    <w:basedOn w:val="CommentTextChar"/>
    <w:link w:val="CommentSubject"/>
    <w:uiPriority w:val="99"/>
    <w:semiHidden/>
    <w:rsid w:val="00613465"/>
    <w:rPr>
      <w:b/>
      <w:bCs/>
    </w:rPr>
  </w:style>
  <w:style w:type="paragraph" w:styleId="List2">
    <w:name w:val="List 2"/>
    <w:basedOn w:val="Normal"/>
    <w:rsid w:val="006C575E"/>
    <w:pPr>
      <w:widowControl w:val="0"/>
      <w:spacing w:before="120" w:after="120"/>
      <w:ind w:left="720" w:hanging="360"/>
      <w:jc w:val="both"/>
    </w:pPr>
    <w:rPr>
      <w:rFonts w:ascii="Arial" w:hAnsi="Arial"/>
      <w:sz w:val="24"/>
    </w:rPr>
  </w:style>
  <w:style w:type="paragraph" w:styleId="List3">
    <w:name w:val="List 3"/>
    <w:basedOn w:val="Normal"/>
    <w:rsid w:val="006C575E"/>
    <w:pPr>
      <w:widowControl w:val="0"/>
      <w:spacing w:after="120"/>
      <w:ind w:left="1080" w:hanging="360"/>
      <w:jc w:val="both"/>
    </w:pPr>
    <w:rPr>
      <w:rFonts w:ascii="Arial" w:hAnsi="Arial"/>
      <w:sz w:val="24"/>
    </w:rPr>
  </w:style>
  <w:style w:type="paragraph" w:styleId="ListContinue2">
    <w:name w:val="List Continue 2"/>
    <w:basedOn w:val="Normal"/>
    <w:rsid w:val="006C575E"/>
    <w:pPr>
      <w:widowControl w:val="0"/>
      <w:spacing w:after="120"/>
      <w:ind w:left="720"/>
      <w:jc w:val="both"/>
    </w:pPr>
    <w:rPr>
      <w:rFonts w:ascii="Arial" w:hAnsi="Arial"/>
      <w:sz w:val="24"/>
    </w:rPr>
  </w:style>
  <w:style w:type="paragraph" w:styleId="BodyText">
    <w:name w:val="Body Text"/>
    <w:basedOn w:val="Normal"/>
    <w:link w:val="BodyTextChar"/>
    <w:uiPriority w:val="99"/>
    <w:rsid w:val="006C575E"/>
    <w:pPr>
      <w:jc w:val="both"/>
    </w:pPr>
    <w:rPr>
      <w:rFonts w:ascii="CG Times" w:hAnsi="CG Times"/>
      <w:sz w:val="22"/>
    </w:rPr>
  </w:style>
  <w:style w:type="character" w:customStyle="1" w:styleId="BodyTextChar">
    <w:name w:val="Body Text Char"/>
    <w:basedOn w:val="DefaultParagraphFont"/>
    <w:link w:val="BodyText"/>
    <w:uiPriority w:val="99"/>
    <w:rsid w:val="006C575E"/>
    <w:rPr>
      <w:rFonts w:ascii="CG Times" w:hAnsi="CG Times"/>
      <w:sz w:val="22"/>
    </w:rPr>
  </w:style>
  <w:style w:type="paragraph" w:styleId="BodyTextIndent3">
    <w:name w:val="Body Text Indent 3"/>
    <w:basedOn w:val="Normal"/>
    <w:link w:val="BodyTextIndent3Char"/>
    <w:uiPriority w:val="99"/>
    <w:semiHidden/>
    <w:unhideWhenUsed/>
    <w:rsid w:val="003953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537F"/>
    <w:rPr>
      <w:sz w:val="16"/>
      <w:szCs w:val="16"/>
    </w:rPr>
  </w:style>
  <w:style w:type="paragraph" w:styleId="BodyTextIndent">
    <w:name w:val="Body Text Indent"/>
    <w:basedOn w:val="Normal"/>
    <w:link w:val="BodyTextIndentChar"/>
    <w:uiPriority w:val="99"/>
    <w:semiHidden/>
    <w:unhideWhenUsed/>
    <w:rsid w:val="005041D2"/>
    <w:pPr>
      <w:spacing w:after="120"/>
      <w:ind w:left="360"/>
    </w:pPr>
  </w:style>
  <w:style w:type="character" w:customStyle="1" w:styleId="BodyTextIndentChar">
    <w:name w:val="Body Text Indent Char"/>
    <w:basedOn w:val="DefaultParagraphFont"/>
    <w:link w:val="BodyTextIndent"/>
    <w:uiPriority w:val="99"/>
    <w:semiHidden/>
    <w:rsid w:val="005041D2"/>
  </w:style>
  <w:style w:type="character" w:customStyle="1" w:styleId="Heading2Char">
    <w:name w:val="Heading 2 Char"/>
    <w:basedOn w:val="DefaultParagraphFont"/>
    <w:link w:val="Heading2"/>
    <w:rsid w:val="005041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INVESTMENT POLICY AND GUIDELINES</vt:lpstr>
    </vt:vector>
  </TitlesOfParts>
  <Company>Fairfield County Foundation</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 AND GUIDELINES</dc:title>
  <dc:creator>Perry, Scott F.</dc:creator>
  <cp:lastModifiedBy>Joseph Baker</cp:lastModifiedBy>
  <cp:revision>2</cp:revision>
  <cp:lastPrinted>2014-03-04T18:55:00Z</cp:lastPrinted>
  <dcterms:created xsi:type="dcterms:W3CDTF">2016-10-26T12:47:00Z</dcterms:created>
  <dcterms:modified xsi:type="dcterms:W3CDTF">2016-10-26T12:47:00Z</dcterms:modified>
</cp:coreProperties>
</file>